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A5A" w:rsidRDefault="00522A5A" w:rsidP="00522A5A">
      <w:pPr>
        <w:autoSpaceDE w:val="0"/>
        <w:autoSpaceDN w:val="0"/>
        <w:adjustRightInd w:val="0"/>
        <w:spacing w:after="0" w:line="240" w:lineRule="auto"/>
        <w:jc w:val="right"/>
        <w:rPr>
          <w:rFonts w:ascii="Arial" w:hAnsi="Arial" w:cs="Arial"/>
          <w:b/>
          <w:bCs/>
          <w:color w:val="000000"/>
          <w:sz w:val="28"/>
          <w:szCs w:val="28"/>
        </w:rPr>
      </w:pPr>
      <w:r>
        <w:rPr>
          <w:noProof/>
          <w:lang w:eastAsia="de-DE"/>
        </w:rPr>
        <w:drawing>
          <wp:inline distT="0" distB="0" distL="0" distR="0" wp14:anchorId="2F704D27" wp14:editId="3DF64A0E">
            <wp:extent cx="3133725" cy="657225"/>
            <wp:effectExtent l="0" t="0" r="9525" b="9525"/>
            <wp:docPr id="2" name="Bild 2" descr="Der Paritätis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r Paritätisch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3725" cy="657225"/>
                    </a:xfrm>
                    <a:prstGeom prst="rect">
                      <a:avLst/>
                    </a:prstGeom>
                    <a:noFill/>
                    <a:ln>
                      <a:noFill/>
                    </a:ln>
                  </pic:spPr>
                </pic:pic>
              </a:graphicData>
            </a:graphic>
          </wp:inline>
        </w:drawing>
      </w:r>
    </w:p>
    <w:p w:rsidR="00522A5A" w:rsidRDefault="00522A5A" w:rsidP="00522A5A">
      <w:pPr>
        <w:autoSpaceDE w:val="0"/>
        <w:autoSpaceDN w:val="0"/>
        <w:adjustRightInd w:val="0"/>
        <w:spacing w:after="0" w:line="240" w:lineRule="auto"/>
        <w:jc w:val="right"/>
        <w:rPr>
          <w:rFonts w:ascii="Arial" w:hAnsi="Arial" w:cs="Arial"/>
          <w:b/>
          <w:bCs/>
          <w:color w:val="000000"/>
          <w:sz w:val="28"/>
          <w:szCs w:val="28"/>
        </w:rPr>
      </w:pPr>
    </w:p>
    <w:p w:rsidR="00522A5A" w:rsidRDefault="00522A5A" w:rsidP="00522A5A">
      <w:pPr>
        <w:autoSpaceDE w:val="0"/>
        <w:autoSpaceDN w:val="0"/>
        <w:adjustRightInd w:val="0"/>
        <w:spacing w:after="0" w:line="240" w:lineRule="auto"/>
        <w:jc w:val="right"/>
        <w:rPr>
          <w:rFonts w:ascii="Arial" w:hAnsi="Arial" w:cs="Arial"/>
          <w:b/>
          <w:bCs/>
          <w:color w:val="000000"/>
          <w:sz w:val="28"/>
          <w:szCs w:val="28"/>
        </w:rPr>
      </w:pPr>
    </w:p>
    <w:p w:rsidR="00522A5A" w:rsidRDefault="00522A5A" w:rsidP="00DA17A3">
      <w:pPr>
        <w:autoSpaceDE w:val="0"/>
        <w:autoSpaceDN w:val="0"/>
        <w:adjustRightInd w:val="0"/>
        <w:spacing w:after="0" w:line="240" w:lineRule="auto"/>
        <w:rPr>
          <w:rFonts w:ascii="Arial" w:hAnsi="Arial" w:cs="Arial"/>
          <w:b/>
          <w:bCs/>
          <w:color w:val="000000"/>
          <w:sz w:val="28"/>
          <w:szCs w:val="28"/>
        </w:rPr>
      </w:pPr>
    </w:p>
    <w:p w:rsidR="00DA17A3" w:rsidRPr="00DA17A3" w:rsidRDefault="00DA17A3" w:rsidP="00DA17A3">
      <w:pPr>
        <w:autoSpaceDE w:val="0"/>
        <w:autoSpaceDN w:val="0"/>
        <w:adjustRightInd w:val="0"/>
        <w:spacing w:after="0" w:line="240" w:lineRule="auto"/>
        <w:rPr>
          <w:rFonts w:ascii="Arial" w:hAnsi="Arial" w:cs="Arial"/>
          <w:b/>
          <w:bCs/>
          <w:color w:val="000000"/>
          <w:sz w:val="28"/>
          <w:szCs w:val="28"/>
        </w:rPr>
      </w:pPr>
      <w:r w:rsidRPr="00DA17A3">
        <w:rPr>
          <w:rFonts w:ascii="Arial" w:hAnsi="Arial" w:cs="Arial"/>
          <w:b/>
          <w:bCs/>
          <w:color w:val="000000"/>
          <w:sz w:val="28"/>
          <w:szCs w:val="28"/>
        </w:rPr>
        <w:t>Stellungnahme zum Referentenentwurf eines Gesetzes zur Verbesserung der Transparenz in der Alterssicherung und der Rehabilitation sowie zur Modernisierung der Sozialversicherungswahlen (Gesetz Digitale Rentenübersicht), Stand 29.07.2020</w:t>
      </w:r>
    </w:p>
    <w:p w:rsidR="00DA17A3" w:rsidRPr="00DA17A3" w:rsidRDefault="00DA17A3" w:rsidP="00DA17A3">
      <w:pPr>
        <w:autoSpaceDE w:val="0"/>
        <w:autoSpaceDN w:val="0"/>
        <w:adjustRightInd w:val="0"/>
        <w:spacing w:after="0" w:line="240" w:lineRule="auto"/>
        <w:rPr>
          <w:rFonts w:ascii="Arial" w:hAnsi="Arial" w:cs="Arial"/>
          <w:b/>
          <w:bCs/>
          <w:color w:val="000000"/>
          <w:sz w:val="24"/>
          <w:szCs w:val="24"/>
        </w:rPr>
      </w:pPr>
    </w:p>
    <w:p w:rsidR="00DA17A3" w:rsidRDefault="00DA17A3" w:rsidP="00DA17A3">
      <w:pPr>
        <w:autoSpaceDE w:val="0"/>
        <w:autoSpaceDN w:val="0"/>
        <w:adjustRightInd w:val="0"/>
        <w:spacing w:after="0" w:line="240" w:lineRule="auto"/>
        <w:rPr>
          <w:rFonts w:ascii="Arial" w:hAnsi="Arial" w:cs="Arial"/>
          <w:b/>
          <w:bCs/>
          <w:color w:val="000000"/>
          <w:sz w:val="24"/>
          <w:szCs w:val="24"/>
        </w:rPr>
      </w:pPr>
    </w:p>
    <w:p w:rsidR="00522A5A" w:rsidRDefault="00522A5A" w:rsidP="00DA17A3">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Angesichts der kurzen Fristsetzung nimmt der Paritätische nicht zu allen Detailregelungen Stellung, sondern beschränkt sich auf für ihn wesentliche Aspekte des Gesetzentwurfs.</w:t>
      </w:r>
    </w:p>
    <w:p w:rsidR="00522A5A" w:rsidRDefault="00522A5A" w:rsidP="00DA17A3">
      <w:pPr>
        <w:autoSpaceDE w:val="0"/>
        <w:autoSpaceDN w:val="0"/>
        <w:adjustRightInd w:val="0"/>
        <w:spacing w:after="0" w:line="240" w:lineRule="auto"/>
        <w:rPr>
          <w:rFonts w:ascii="Arial" w:hAnsi="Arial" w:cs="Arial"/>
          <w:bCs/>
          <w:color w:val="000000"/>
          <w:sz w:val="24"/>
          <w:szCs w:val="24"/>
        </w:rPr>
      </w:pPr>
    </w:p>
    <w:p w:rsidR="00522A5A" w:rsidRPr="00522A5A" w:rsidRDefault="00522A5A" w:rsidP="00DA17A3">
      <w:pPr>
        <w:autoSpaceDE w:val="0"/>
        <w:autoSpaceDN w:val="0"/>
        <w:adjustRightInd w:val="0"/>
        <w:spacing w:after="0" w:line="240" w:lineRule="auto"/>
        <w:rPr>
          <w:rFonts w:ascii="Arial" w:hAnsi="Arial" w:cs="Arial"/>
          <w:bCs/>
          <w:color w:val="000000"/>
          <w:sz w:val="24"/>
          <w:szCs w:val="24"/>
        </w:rPr>
      </w:pPr>
    </w:p>
    <w:p w:rsidR="00522A5A" w:rsidRPr="0085039B" w:rsidRDefault="00522A5A" w:rsidP="00522A5A">
      <w:pPr>
        <w:spacing w:after="0" w:line="240" w:lineRule="auto"/>
        <w:rPr>
          <w:rFonts w:ascii="Arial" w:hAnsi="Arial" w:cs="Arial"/>
          <w:b/>
          <w:sz w:val="24"/>
          <w:szCs w:val="24"/>
        </w:rPr>
      </w:pPr>
      <w:r>
        <w:rPr>
          <w:rFonts w:ascii="Arial" w:hAnsi="Arial" w:cs="Arial"/>
          <w:b/>
          <w:sz w:val="24"/>
          <w:szCs w:val="24"/>
        </w:rPr>
        <w:t>Zu Artikel 1 - Rentenübersichtsgesetz</w:t>
      </w:r>
    </w:p>
    <w:p w:rsidR="00522A5A" w:rsidRPr="0085039B" w:rsidRDefault="00522A5A" w:rsidP="00522A5A">
      <w:pPr>
        <w:spacing w:after="0" w:line="240" w:lineRule="auto"/>
        <w:rPr>
          <w:rFonts w:ascii="Arial" w:hAnsi="Arial" w:cs="Arial"/>
          <w:sz w:val="24"/>
          <w:szCs w:val="24"/>
        </w:rPr>
      </w:pPr>
    </w:p>
    <w:p w:rsidR="00522A5A" w:rsidRPr="0085039B" w:rsidRDefault="00522A5A" w:rsidP="00522A5A">
      <w:pPr>
        <w:autoSpaceDE w:val="0"/>
        <w:autoSpaceDN w:val="0"/>
        <w:adjustRightInd w:val="0"/>
        <w:spacing w:after="0" w:line="240" w:lineRule="auto"/>
        <w:rPr>
          <w:rFonts w:ascii="Arial" w:hAnsi="Arial" w:cs="Arial"/>
          <w:sz w:val="24"/>
          <w:szCs w:val="24"/>
        </w:rPr>
      </w:pPr>
      <w:r w:rsidRPr="0085039B">
        <w:rPr>
          <w:rFonts w:ascii="Arial" w:hAnsi="Arial" w:cs="Arial"/>
          <w:sz w:val="24"/>
          <w:szCs w:val="24"/>
        </w:rPr>
        <w:t>Der Paritätische unterstützt das Anliegen des vorliegenden Referentenentwurfs, durch die Bereitstellung einer Rentenübersicht zu mehr Transparenz in der Alterssicherung beizutragen. Angesichts von mehreren zehntausend Vorsorgeeinrichtungen der Alterssicherung in Deutschland mit einer noch höheren Zahl unterschiedlicher P</w:t>
      </w:r>
      <w:r>
        <w:rPr>
          <w:rFonts w:ascii="Arial" w:hAnsi="Arial" w:cs="Arial"/>
          <w:sz w:val="24"/>
          <w:szCs w:val="24"/>
        </w:rPr>
        <w:t>rodukte</w:t>
      </w:r>
      <w:r w:rsidRPr="0085039B">
        <w:rPr>
          <w:rFonts w:ascii="Arial" w:hAnsi="Arial" w:cs="Arial"/>
          <w:sz w:val="24"/>
          <w:szCs w:val="24"/>
        </w:rPr>
        <w:t xml:space="preserve"> ist die Bereitstellung von Übersichtsdarstellungen dringend notwendig, um die Bevölkerung bei der Planung ihrer Altersvorsorge zu unterstützen.</w:t>
      </w:r>
    </w:p>
    <w:p w:rsidR="00522A5A" w:rsidRPr="0085039B" w:rsidRDefault="00522A5A" w:rsidP="00522A5A">
      <w:pPr>
        <w:autoSpaceDE w:val="0"/>
        <w:autoSpaceDN w:val="0"/>
        <w:adjustRightInd w:val="0"/>
        <w:spacing w:after="0" w:line="240" w:lineRule="auto"/>
        <w:rPr>
          <w:rFonts w:ascii="Arial" w:hAnsi="Arial" w:cs="Arial"/>
          <w:sz w:val="24"/>
          <w:szCs w:val="24"/>
        </w:rPr>
      </w:pPr>
    </w:p>
    <w:p w:rsidR="00522A5A" w:rsidRPr="0085039B" w:rsidRDefault="00522A5A" w:rsidP="00522A5A">
      <w:pPr>
        <w:autoSpaceDE w:val="0"/>
        <w:autoSpaceDN w:val="0"/>
        <w:adjustRightInd w:val="0"/>
        <w:spacing w:after="0" w:line="240" w:lineRule="auto"/>
        <w:rPr>
          <w:rFonts w:ascii="Arial" w:hAnsi="Arial" w:cs="Arial"/>
          <w:sz w:val="24"/>
          <w:szCs w:val="24"/>
        </w:rPr>
      </w:pPr>
      <w:r w:rsidRPr="0085039B">
        <w:rPr>
          <w:rFonts w:ascii="Arial" w:hAnsi="Arial" w:cs="Arial"/>
          <w:sz w:val="24"/>
          <w:szCs w:val="24"/>
        </w:rPr>
        <w:t>Eine säulenübergreifende Rentenübersicht ist auch deshalb dringend geboten, weil die Versicherten bislang nur schwer einschätzen können, wie sich die Ansprüche im Einzelnen und insgesamt im Laufe der Zeit entwickeln. Die Vielzahl unterschiedlicher Vorsorgeprodukte, aber auch Wechsel des Arbeitgebers (die durchschnittliche Betriebszugehörigkeit in Deutschland</w:t>
      </w:r>
      <w:r>
        <w:rPr>
          <w:rFonts w:ascii="Arial" w:hAnsi="Arial" w:cs="Arial"/>
          <w:sz w:val="24"/>
          <w:szCs w:val="24"/>
        </w:rPr>
        <w:t xml:space="preserve"> lag 2015 bei 11,2 Jahren) führen</w:t>
      </w:r>
      <w:r w:rsidRPr="0085039B">
        <w:rPr>
          <w:rFonts w:ascii="Arial" w:hAnsi="Arial" w:cs="Arial"/>
          <w:sz w:val="24"/>
          <w:szCs w:val="24"/>
        </w:rPr>
        <w:t xml:space="preserve"> dazu, dass sich Alterssicherungsansprüche aus </w:t>
      </w:r>
      <w:r>
        <w:rPr>
          <w:rFonts w:ascii="Arial" w:hAnsi="Arial" w:cs="Arial"/>
          <w:sz w:val="24"/>
          <w:szCs w:val="24"/>
        </w:rPr>
        <w:t>immer</w:t>
      </w:r>
      <w:r w:rsidRPr="0085039B">
        <w:rPr>
          <w:rFonts w:ascii="Arial" w:hAnsi="Arial" w:cs="Arial"/>
          <w:sz w:val="24"/>
          <w:szCs w:val="24"/>
        </w:rPr>
        <w:t xml:space="preserve"> mehr unterschiedlichen Quellen zusammensetzen.</w:t>
      </w:r>
    </w:p>
    <w:p w:rsidR="00522A5A" w:rsidRPr="0085039B" w:rsidRDefault="00522A5A" w:rsidP="00522A5A">
      <w:pPr>
        <w:spacing w:after="0" w:line="240" w:lineRule="auto"/>
        <w:rPr>
          <w:rFonts w:ascii="Arial" w:hAnsi="Arial" w:cs="Arial"/>
          <w:sz w:val="24"/>
          <w:szCs w:val="24"/>
        </w:rPr>
      </w:pPr>
    </w:p>
    <w:p w:rsidR="00522A5A" w:rsidRPr="0085039B" w:rsidRDefault="00522A5A" w:rsidP="00522A5A">
      <w:pPr>
        <w:spacing w:after="0" w:line="240" w:lineRule="auto"/>
        <w:rPr>
          <w:rFonts w:ascii="Arial" w:hAnsi="Arial" w:cs="Arial"/>
          <w:sz w:val="24"/>
          <w:szCs w:val="24"/>
        </w:rPr>
      </w:pPr>
      <w:r w:rsidRPr="0085039B">
        <w:rPr>
          <w:rFonts w:ascii="Arial" w:hAnsi="Arial" w:cs="Arial"/>
          <w:sz w:val="24"/>
          <w:szCs w:val="24"/>
        </w:rPr>
        <w:t>Die Leistungsfähigkeit der betrieblichen und privaten A</w:t>
      </w:r>
      <w:r>
        <w:rPr>
          <w:rFonts w:ascii="Arial" w:hAnsi="Arial" w:cs="Arial"/>
          <w:sz w:val="24"/>
          <w:szCs w:val="24"/>
        </w:rPr>
        <w:t>lterssicherung wird häufig überschätzt</w:t>
      </w:r>
      <w:r w:rsidRPr="0085039B">
        <w:rPr>
          <w:rFonts w:ascii="Arial" w:hAnsi="Arial" w:cs="Arial"/>
          <w:sz w:val="24"/>
          <w:szCs w:val="24"/>
        </w:rPr>
        <w:t xml:space="preserve">, die der Gesetzlichen Rentenversicherung häufig unterschätzt. Die geplante Rentenübersicht soll deshalb nicht nur Leistungsansprüche im Alter darstellen, sondern auch die jeweiligen Leistungsansprüche im Falle von Invalidität (Erwerbsminderungsrente) und Tod (Hinterbliebenenversorgung) aufweisen. Darüber hinaus </w:t>
      </w:r>
      <w:r w:rsidR="00253216">
        <w:rPr>
          <w:rFonts w:ascii="Arial" w:hAnsi="Arial" w:cs="Arial"/>
          <w:sz w:val="24"/>
          <w:szCs w:val="24"/>
        </w:rPr>
        <w:t>ist</w:t>
      </w:r>
      <w:r w:rsidRPr="0085039B">
        <w:rPr>
          <w:rFonts w:ascii="Arial" w:hAnsi="Arial" w:cs="Arial"/>
          <w:sz w:val="24"/>
          <w:szCs w:val="24"/>
        </w:rPr>
        <w:t xml:space="preserve"> auf Risiken kapitalgedeckter Alterssicherungsformen hinzuweisen. </w:t>
      </w:r>
    </w:p>
    <w:p w:rsidR="00522A5A" w:rsidRPr="0085039B" w:rsidRDefault="00522A5A" w:rsidP="00522A5A">
      <w:pPr>
        <w:spacing w:after="0" w:line="240" w:lineRule="auto"/>
        <w:rPr>
          <w:rFonts w:ascii="Arial" w:hAnsi="Arial" w:cs="Arial"/>
          <w:sz w:val="24"/>
          <w:szCs w:val="24"/>
        </w:rPr>
      </w:pPr>
    </w:p>
    <w:p w:rsidR="00522A5A" w:rsidRPr="0085039B" w:rsidRDefault="00522A5A" w:rsidP="00522A5A">
      <w:pPr>
        <w:spacing w:after="0" w:line="240" w:lineRule="auto"/>
        <w:rPr>
          <w:rFonts w:ascii="Arial" w:hAnsi="Arial" w:cs="Arial"/>
          <w:sz w:val="24"/>
          <w:szCs w:val="24"/>
        </w:rPr>
      </w:pPr>
      <w:r w:rsidRPr="0085039B">
        <w:rPr>
          <w:rFonts w:ascii="Arial" w:hAnsi="Arial" w:cs="Arial"/>
          <w:sz w:val="24"/>
          <w:szCs w:val="24"/>
        </w:rPr>
        <w:t xml:space="preserve">Eine regelmäßige, standardisierte Übersicht besteht seit 2005 vor allem in der Gesetzlichen Rentenversicherung. Etwa 31 Millionen Versicherte in der Gesetzlichen Rentenversicherung, die mindestens 27 Jahre alt sind und fünf Jahre an Beitragszeiten erworben haben, erhalten bereits heute mindestens einmal jährlich eine schriftliche Renteninformation (§ 109 SGB VI.). Sie enthält Angaben zu den bisher gezahlten Beiträgen, zu bisher erworbenen Rentenanwartschaften </w:t>
      </w:r>
      <w:r w:rsidRPr="0085039B">
        <w:rPr>
          <w:rFonts w:ascii="Arial" w:hAnsi="Arial" w:cs="Arial"/>
          <w:sz w:val="24"/>
          <w:szCs w:val="24"/>
        </w:rPr>
        <w:lastRenderedPageBreak/>
        <w:t xml:space="preserve">einschließlich der Ansprüche auf Alters- und Erwerbsminderungsrenten. Auf der Grundlage der in den zurückliegenden fünf Kalenderjahren gezahlten Beiträge enthält die Renteninformation darüber hinaus eine Hochrechnung von voraussichtlichen Ansprüchen mit Erreichen der Regelaltersgrenze. </w:t>
      </w:r>
      <w:r>
        <w:rPr>
          <w:rFonts w:ascii="Arial" w:hAnsi="Arial" w:cs="Arial"/>
          <w:sz w:val="24"/>
          <w:szCs w:val="24"/>
        </w:rPr>
        <w:t>Diese Form der Renteninformation hat Vorbildcharakter.</w:t>
      </w:r>
    </w:p>
    <w:p w:rsidR="00522A5A" w:rsidRPr="0085039B" w:rsidRDefault="00522A5A" w:rsidP="00522A5A">
      <w:pPr>
        <w:spacing w:after="0" w:line="240" w:lineRule="auto"/>
        <w:rPr>
          <w:rFonts w:ascii="Arial" w:hAnsi="Arial" w:cs="Arial"/>
          <w:sz w:val="24"/>
          <w:szCs w:val="24"/>
        </w:rPr>
      </w:pPr>
    </w:p>
    <w:p w:rsidR="00522A5A" w:rsidRPr="0085039B" w:rsidRDefault="00522A5A" w:rsidP="00522A5A">
      <w:pPr>
        <w:spacing w:after="0" w:line="240" w:lineRule="auto"/>
        <w:rPr>
          <w:rFonts w:ascii="Arial" w:hAnsi="Arial" w:cs="Arial"/>
          <w:sz w:val="24"/>
          <w:szCs w:val="24"/>
        </w:rPr>
      </w:pPr>
      <w:r w:rsidRPr="0085039B">
        <w:rPr>
          <w:rFonts w:ascii="Arial" w:hAnsi="Arial" w:cs="Arial"/>
          <w:sz w:val="24"/>
          <w:szCs w:val="24"/>
        </w:rPr>
        <w:t>Die Bereitstellung der Übersicht in digitaler Form bietet Chancen, den Zugang zu wesentlichen Informationen über eigene Alterssicherungsansprüche nicht nur transparenter zu gestalten, sondern auch barrierefreier zugänglich zu machen. Bei der Umsetzung des Vorhabens soll die Zentrale Stelle für die Digitale Rentenübersicht deshalb angehalten werden, für ein Höchstmaß an Barrierefreiheit Sorge zu tragen. Dazu zählt, dass die Inhalte der Rentenübersicht auch in einem Audio-Format abrufbar sein müssen.</w:t>
      </w:r>
    </w:p>
    <w:p w:rsidR="00522A5A" w:rsidRDefault="00522A5A" w:rsidP="00522A5A">
      <w:pPr>
        <w:spacing w:after="0" w:line="240" w:lineRule="auto"/>
        <w:rPr>
          <w:rFonts w:ascii="Arial" w:hAnsi="Arial" w:cs="Arial"/>
          <w:sz w:val="24"/>
          <w:szCs w:val="24"/>
        </w:rPr>
      </w:pPr>
    </w:p>
    <w:p w:rsidR="00522A5A" w:rsidRPr="0085039B" w:rsidRDefault="00522A5A" w:rsidP="00522A5A">
      <w:pPr>
        <w:spacing w:after="0" w:line="240" w:lineRule="auto"/>
        <w:rPr>
          <w:rFonts w:ascii="Arial" w:hAnsi="Arial" w:cs="Arial"/>
          <w:sz w:val="24"/>
          <w:szCs w:val="24"/>
        </w:rPr>
      </w:pPr>
      <w:r w:rsidRPr="0085039B">
        <w:rPr>
          <w:rFonts w:ascii="Arial" w:hAnsi="Arial" w:cs="Arial"/>
          <w:sz w:val="24"/>
          <w:szCs w:val="24"/>
        </w:rPr>
        <w:t>Eine Beschränkung auf eine digital</w:t>
      </w:r>
      <w:r>
        <w:rPr>
          <w:rFonts w:ascii="Arial" w:hAnsi="Arial" w:cs="Arial"/>
          <w:sz w:val="24"/>
          <w:szCs w:val="24"/>
        </w:rPr>
        <w:t xml:space="preserve">e Rentenübersicht greift dennoch </w:t>
      </w:r>
      <w:r w:rsidRPr="0085039B">
        <w:rPr>
          <w:rFonts w:ascii="Arial" w:hAnsi="Arial" w:cs="Arial"/>
          <w:sz w:val="24"/>
          <w:szCs w:val="24"/>
        </w:rPr>
        <w:t>zu kurz. Gerade angesichts der Bedeutung einer ausreichenden Altersvorsorge muss die geplante Rentenübersicht mindestens einmal jährlich per Post zugestellt werden. Nach Angaben des D21 Digital Index nutzen in Deutschland etwa zehn Millionen Menschen das Internet nicht. Auch wenn ein erheblicher Anteil dieser Gruppe bereits im Rentenalter ist, würde eine Beschränkung auf eine digitale Rentenübersicht zahlreiche Menschen faktisch von dieser Informationsmöglichkeit ausschließen. Sowohl die Renteninformation der Gesetzlichen Rentenversicherung als auch bestehende Informationen anderer Vorsorgeträge erfolgen schriftlich. Dies muss auch für die Gesamtübersicht gelten.</w:t>
      </w:r>
    </w:p>
    <w:p w:rsidR="00522A5A" w:rsidRPr="0085039B" w:rsidRDefault="00522A5A" w:rsidP="00522A5A">
      <w:pPr>
        <w:spacing w:after="0" w:line="240" w:lineRule="auto"/>
        <w:rPr>
          <w:rFonts w:ascii="Arial" w:hAnsi="Arial" w:cs="Arial"/>
          <w:sz w:val="24"/>
          <w:szCs w:val="24"/>
        </w:rPr>
      </w:pPr>
    </w:p>
    <w:p w:rsidR="00522A5A" w:rsidRPr="0085039B" w:rsidRDefault="00522A5A" w:rsidP="00522A5A">
      <w:pPr>
        <w:spacing w:after="0" w:line="240" w:lineRule="auto"/>
        <w:rPr>
          <w:rFonts w:ascii="Arial" w:hAnsi="Arial" w:cs="Arial"/>
          <w:sz w:val="24"/>
          <w:szCs w:val="24"/>
        </w:rPr>
      </w:pPr>
      <w:r w:rsidRPr="0085039B">
        <w:rPr>
          <w:rFonts w:ascii="Arial" w:hAnsi="Arial" w:cs="Arial"/>
          <w:sz w:val="24"/>
          <w:szCs w:val="24"/>
        </w:rPr>
        <w:t>Der Paritätische fordert grundsätzlich, alle Erwerbstätigen in die Gesetzliche Rentenversicherung einzubeziehen und die steuerliche Förderung der privaten Riester-Vorsorge, die jährlich etwa drei Milliarden Euro umfasst, einzustellen. Stattdessen soll gezielt die Altersvorsorge der von Einkommensarmut betroffenen oder bedrohten Menschen unterstützt werden. Bei bestehenden Beamtenverhältnissen bestehen derzeit zwischen den Trägern der Beamtenversorgung ganz unterschiedliche Regelungen zur Information über Versorgungsansprüche, häufig fehlt es aber auch ganz an entsprechenden Regelungen. Entsprechende Übersichten sind jedoch auch dort, gerade mit Blick auf Teilzeitbeschäftigungen wichtig. Wo in der Beamtenversorgung und in der berufsständischen Versorgung bereits entsprechende Prognosen zur Verfügung stehen, sollen diese frühzeitig auch in die Übersicht einbezogen werden. Für die übrigen Träger ist die Einbeziehung schnellstmöglich nachzuholen.</w:t>
      </w:r>
    </w:p>
    <w:p w:rsidR="00522A5A" w:rsidRPr="0085039B" w:rsidRDefault="00522A5A" w:rsidP="00522A5A">
      <w:pPr>
        <w:spacing w:after="0" w:line="240" w:lineRule="auto"/>
        <w:rPr>
          <w:rFonts w:ascii="Arial" w:hAnsi="Arial" w:cs="Arial"/>
          <w:sz w:val="24"/>
          <w:szCs w:val="24"/>
        </w:rPr>
      </w:pPr>
    </w:p>
    <w:p w:rsidR="00522A5A" w:rsidRDefault="00522A5A" w:rsidP="00522A5A">
      <w:pPr>
        <w:spacing w:after="0" w:line="240" w:lineRule="auto"/>
        <w:rPr>
          <w:rFonts w:ascii="Arial" w:hAnsi="Arial" w:cs="Arial"/>
          <w:sz w:val="24"/>
          <w:szCs w:val="24"/>
        </w:rPr>
      </w:pPr>
      <w:r w:rsidRPr="0085039B">
        <w:rPr>
          <w:rFonts w:ascii="Arial" w:hAnsi="Arial" w:cs="Arial"/>
          <w:sz w:val="24"/>
          <w:szCs w:val="24"/>
        </w:rPr>
        <w:t xml:space="preserve">In der Rentenübersicht sollen die kalkulierten Leistungsansprüche als Bruttobeträge ausgewiesen werden. Das ist nachvollziehbar, da die Nettobeträge vom Haushaltskontext, der Steuerklasse und weiteren Faktoren abhängen. Umso wichtiger ist es, mit der Übersicht in leicht verständlicher, ausführlicher Art und Weise darauf hinzuweisen und </w:t>
      </w:r>
      <w:r>
        <w:rPr>
          <w:rFonts w:ascii="Arial" w:hAnsi="Arial" w:cs="Arial"/>
          <w:sz w:val="24"/>
          <w:szCs w:val="24"/>
        </w:rPr>
        <w:t xml:space="preserve">darüber hinaus </w:t>
      </w:r>
      <w:r w:rsidRPr="0085039B">
        <w:rPr>
          <w:rFonts w:ascii="Arial" w:hAnsi="Arial" w:cs="Arial"/>
          <w:sz w:val="24"/>
          <w:szCs w:val="24"/>
        </w:rPr>
        <w:t>sowohl auf die Steuerpflicht sowie etwaige Abzüge aufgrund der Beitragspflicht in der Kranken- und Pflegeversicherung hinzuweisen. Ausführlichen Raum muss auch der Hinweis auf den Prognosecharakter der Übersicht haben, ebenso wie Hinweise auf die Absicherung möglicher Risiken (z.B. Erwerbsminderung, Pflege). Der Referentenentwurf berücksichtigt dies grundsätzlich. Bei der Umsetzung müssen diese Aspekte b</w:t>
      </w:r>
      <w:r w:rsidR="001542D5">
        <w:rPr>
          <w:rFonts w:ascii="Arial" w:hAnsi="Arial" w:cs="Arial"/>
          <w:sz w:val="24"/>
          <w:szCs w:val="24"/>
        </w:rPr>
        <w:t>esonders berücksichtigt werden.</w:t>
      </w:r>
    </w:p>
    <w:p w:rsidR="001542D5" w:rsidRDefault="001542D5" w:rsidP="00522A5A">
      <w:pPr>
        <w:spacing w:after="0" w:line="240" w:lineRule="auto"/>
        <w:rPr>
          <w:rFonts w:ascii="Arial" w:hAnsi="Arial" w:cs="Arial"/>
          <w:sz w:val="24"/>
          <w:szCs w:val="24"/>
        </w:rPr>
      </w:pPr>
    </w:p>
    <w:p w:rsidR="001542D5" w:rsidRDefault="001542D5" w:rsidP="00522A5A">
      <w:pPr>
        <w:spacing w:after="0" w:line="240" w:lineRule="auto"/>
        <w:rPr>
          <w:rFonts w:ascii="Arial" w:hAnsi="Arial" w:cs="Arial"/>
          <w:sz w:val="24"/>
          <w:szCs w:val="24"/>
        </w:rPr>
      </w:pPr>
    </w:p>
    <w:p w:rsidR="001542D5" w:rsidRDefault="001542D5" w:rsidP="00522A5A">
      <w:pPr>
        <w:spacing w:after="0" w:line="240" w:lineRule="auto"/>
        <w:rPr>
          <w:rFonts w:ascii="Arial" w:hAnsi="Arial" w:cs="Arial"/>
          <w:sz w:val="24"/>
          <w:szCs w:val="24"/>
        </w:rPr>
      </w:pPr>
      <w:r>
        <w:rPr>
          <w:rFonts w:ascii="Arial" w:hAnsi="Arial" w:cs="Arial"/>
          <w:b/>
          <w:sz w:val="24"/>
          <w:szCs w:val="24"/>
        </w:rPr>
        <w:t>Zu Artikel 2 – Sozialwahlen</w:t>
      </w:r>
    </w:p>
    <w:p w:rsidR="001542D5" w:rsidRDefault="001542D5" w:rsidP="00522A5A">
      <w:pPr>
        <w:spacing w:after="0" w:line="240" w:lineRule="auto"/>
        <w:rPr>
          <w:rFonts w:ascii="Arial" w:hAnsi="Arial" w:cs="Arial"/>
          <w:sz w:val="24"/>
          <w:szCs w:val="24"/>
        </w:rPr>
      </w:pPr>
    </w:p>
    <w:p w:rsidR="001542D5" w:rsidRPr="0085039B" w:rsidRDefault="001542D5" w:rsidP="001542D5">
      <w:pPr>
        <w:spacing w:after="0" w:line="240" w:lineRule="auto"/>
        <w:rPr>
          <w:rFonts w:ascii="Arial" w:hAnsi="Arial" w:cs="Arial"/>
          <w:sz w:val="24"/>
          <w:szCs w:val="24"/>
        </w:rPr>
      </w:pPr>
      <w:r w:rsidRPr="0085039B">
        <w:rPr>
          <w:rFonts w:ascii="Arial" w:hAnsi="Arial" w:cs="Arial"/>
          <w:sz w:val="24"/>
          <w:szCs w:val="24"/>
        </w:rPr>
        <w:t>Schon die geringe Beteiligung an den Sozialwahlen, die bei etwa 30 Prozent liegt, belegt, dass dringender Bedarf besteht, die Sozialwahlen zu reformieren. Der Referentenentwurf sieht hier verschiedene Maßnahmen vor. Dazu zählen eine St</w:t>
      </w:r>
      <w:r>
        <w:rPr>
          <w:rFonts w:ascii="Arial" w:hAnsi="Arial" w:cs="Arial"/>
          <w:sz w:val="24"/>
          <w:szCs w:val="24"/>
        </w:rPr>
        <w:t>eige</w:t>
      </w:r>
      <w:r w:rsidRPr="0085039B">
        <w:rPr>
          <w:rFonts w:ascii="Arial" w:hAnsi="Arial" w:cs="Arial"/>
          <w:sz w:val="24"/>
          <w:szCs w:val="24"/>
        </w:rPr>
        <w:t>rung der Attraktivität des ehrenamtlichen Engagements durch eine Verbesserung der Freistellungsansprüche für Beschäftigte, die Aufhebung der Fünfprozentklausel, das Absenken des Unterschriftsquorums auf maximal 1.000 Unterschriften und mehr Transparenz im Verfahren der Listenaufstellung. Der Paritätische unterstützt diese Regelungen grundsätzlich. Der Paritätische fordert darüber hinaus, dass weitergehende Anstrengungen unternommen werden, um die Gleichstellung von Männern und Frauen zu fördern. Mehr als die Hälfte der Versicherten sind Frauen, während ihr Anteil in den Gremien der Sozialversicherungsträger lediglich bei etwa einem Fünftel liegt. Der Paritätische unterstützt deshalb den Vorschlag einer Ausweitung der Geschlechterquote auf 40 Prozent auf alle Sozialversicherungsträger. Eine paritätische Beteiligung muss darüber hinaus angestrebt werden.</w:t>
      </w:r>
    </w:p>
    <w:p w:rsidR="001542D5" w:rsidRPr="0085039B" w:rsidRDefault="001542D5" w:rsidP="001542D5">
      <w:pPr>
        <w:spacing w:after="0" w:line="240" w:lineRule="auto"/>
        <w:rPr>
          <w:rFonts w:ascii="Arial" w:hAnsi="Arial" w:cs="Arial"/>
          <w:sz w:val="24"/>
          <w:szCs w:val="24"/>
        </w:rPr>
      </w:pPr>
    </w:p>
    <w:p w:rsidR="001542D5" w:rsidRPr="0085039B" w:rsidRDefault="001542D5" w:rsidP="001542D5">
      <w:pPr>
        <w:spacing w:after="0" w:line="240" w:lineRule="auto"/>
        <w:rPr>
          <w:rFonts w:ascii="Arial" w:hAnsi="Arial" w:cs="Arial"/>
          <w:sz w:val="24"/>
          <w:szCs w:val="24"/>
        </w:rPr>
      </w:pPr>
      <w:r w:rsidRPr="0085039B">
        <w:rPr>
          <w:rFonts w:ascii="Arial" w:hAnsi="Arial" w:cs="Arial"/>
          <w:sz w:val="24"/>
          <w:szCs w:val="24"/>
        </w:rPr>
        <w:t xml:space="preserve">Die Leistungen der Sozialversicherungen sind für Menschen mit Behinderungen von besonderer Bedeutung, dennoch sind sie in den Gremien ebenfalls deutlich unterrepräsentiert. Der Paritätische fordert deshalb, dass deutlich mehr Bemühungen unternommen werden, Menschen mit Behinderungen für ein Engagement in den Vertreterversammlungen, Verwaltungsräten und sonstigen Gremien der Sozialversicherungsträger zu gewinnen. Dazu gehört auch, dass ihnen die Ausübung der Mandate </w:t>
      </w:r>
      <w:proofErr w:type="spellStart"/>
      <w:r w:rsidRPr="0085039B">
        <w:rPr>
          <w:rFonts w:ascii="Arial" w:hAnsi="Arial" w:cs="Arial"/>
          <w:sz w:val="24"/>
          <w:szCs w:val="24"/>
        </w:rPr>
        <w:t>weitestmöglich</w:t>
      </w:r>
      <w:proofErr w:type="spellEnd"/>
      <w:r w:rsidRPr="0085039B">
        <w:rPr>
          <w:rFonts w:ascii="Arial" w:hAnsi="Arial" w:cs="Arial"/>
          <w:sz w:val="24"/>
          <w:szCs w:val="24"/>
        </w:rPr>
        <w:t xml:space="preserve"> erleichtert werden muss. Menschen mit Behinderungen sollen mindestens entsprechend ihres Anteils an den Versicherten in den Entscheidungsgremien beteiligt werden. </w:t>
      </w:r>
    </w:p>
    <w:p w:rsidR="001542D5" w:rsidRPr="0085039B" w:rsidRDefault="001542D5" w:rsidP="001542D5">
      <w:pPr>
        <w:spacing w:after="0" w:line="240" w:lineRule="auto"/>
        <w:rPr>
          <w:rFonts w:ascii="Arial" w:hAnsi="Arial" w:cs="Arial"/>
          <w:sz w:val="24"/>
          <w:szCs w:val="24"/>
        </w:rPr>
      </w:pPr>
    </w:p>
    <w:p w:rsidR="001542D5" w:rsidRPr="0085039B" w:rsidRDefault="001542D5" w:rsidP="001542D5">
      <w:pPr>
        <w:spacing w:after="0" w:line="240" w:lineRule="auto"/>
        <w:rPr>
          <w:rFonts w:ascii="Arial" w:hAnsi="Arial" w:cs="Arial"/>
          <w:sz w:val="24"/>
          <w:szCs w:val="24"/>
        </w:rPr>
      </w:pPr>
      <w:r w:rsidRPr="0085039B">
        <w:rPr>
          <w:rFonts w:ascii="Arial" w:hAnsi="Arial" w:cs="Arial"/>
          <w:sz w:val="24"/>
          <w:szCs w:val="24"/>
        </w:rPr>
        <w:t xml:space="preserve">In § 48 Abs. 1 SGB IV ist das Recht, Vorschlagslisten einzureichen, überwiegend auf arbeitnehmer- oder arbeitsweltorientierte Organisationen eingeschränkt. Der Paritätische unterstützt deshalb Forderungen, die Versichertenpartizipation zu stärken, indem weitere Zusammenschlüsse mit sozialer Zielsetzung, wie etwa Selbsthilfeorganisationen und Sozialverbände, berechtigt werden, Vorschlagslisten einzureichen. </w:t>
      </w:r>
    </w:p>
    <w:p w:rsidR="001542D5" w:rsidRPr="0085039B" w:rsidRDefault="001542D5" w:rsidP="001542D5">
      <w:pPr>
        <w:pStyle w:val="Default"/>
      </w:pPr>
    </w:p>
    <w:p w:rsidR="001542D5" w:rsidRPr="0085039B" w:rsidRDefault="001542D5" w:rsidP="001542D5">
      <w:pPr>
        <w:pStyle w:val="Default"/>
      </w:pPr>
      <w:r w:rsidRPr="0085039B">
        <w:t>Wie in der Begründung des Entwurfes ausgewiesen, fanden Sozialversicherungswahlen 2017 bei 161 Sozialversicherungsträgern statt, nur bei zehn Sozialversicherungsträgern kam es dabei zu Wahlen mit Wahlhandlungen (Urwahlen). Eine Modernisierung der Sozialversicherungswahlen macht wenig Sinn, wenn weiter ein überwiegender Anteil der Wahlen ohne Wahlhandlung erfolgt. Der Paritätische regt deshalb an, die Urwahl für die Wahl der Versichertenvertreter verbindlich vorzuschreiben.</w:t>
      </w:r>
    </w:p>
    <w:p w:rsidR="001542D5" w:rsidRPr="0085039B" w:rsidRDefault="001542D5" w:rsidP="001542D5">
      <w:pPr>
        <w:spacing w:after="0" w:line="240" w:lineRule="auto"/>
        <w:rPr>
          <w:rFonts w:ascii="Arial" w:hAnsi="Arial" w:cs="Arial"/>
          <w:sz w:val="24"/>
          <w:szCs w:val="24"/>
        </w:rPr>
      </w:pPr>
    </w:p>
    <w:p w:rsidR="001542D5" w:rsidRDefault="001542D5" w:rsidP="001542D5">
      <w:pPr>
        <w:spacing w:after="0" w:line="240" w:lineRule="auto"/>
        <w:rPr>
          <w:rFonts w:ascii="Arial" w:hAnsi="Arial" w:cs="Arial"/>
          <w:sz w:val="24"/>
          <w:szCs w:val="24"/>
        </w:rPr>
      </w:pPr>
      <w:r w:rsidRPr="0085039B">
        <w:rPr>
          <w:rFonts w:ascii="Arial" w:hAnsi="Arial" w:cs="Arial"/>
          <w:sz w:val="24"/>
          <w:szCs w:val="24"/>
        </w:rPr>
        <w:t>Um die Stimmabgabe zu erleichtern, muss die Stimmabgabe auch online er</w:t>
      </w:r>
      <w:r>
        <w:rPr>
          <w:rFonts w:ascii="Arial" w:hAnsi="Arial" w:cs="Arial"/>
          <w:sz w:val="24"/>
          <w:szCs w:val="24"/>
        </w:rPr>
        <w:t>möglicht werden.</w:t>
      </w:r>
    </w:p>
    <w:p w:rsidR="001542D5" w:rsidRDefault="001542D5" w:rsidP="001542D5">
      <w:pPr>
        <w:spacing w:after="0" w:line="240" w:lineRule="auto"/>
        <w:rPr>
          <w:rFonts w:ascii="Arial" w:hAnsi="Arial" w:cs="Arial"/>
          <w:sz w:val="24"/>
          <w:szCs w:val="24"/>
        </w:rPr>
      </w:pPr>
    </w:p>
    <w:p w:rsidR="001542D5" w:rsidRDefault="001542D5" w:rsidP="001542D5">
      <w:pPr>
        <w:spacing w:after="0" w:line="240" w:lineRule="auto"/>
        <w:rPr>
          <w:rFonts w:ascii="Arial" w:hAnsi="Arial" w:cs="Arial"/>
          <w:sz w:val="24"/>
          <w:szCs w:val="24"/>
        </w:rPr>
      </w:pPr>
    </w:p>
    <w:p w:rsidR="00DA17A3" w:rsidRPr="001542D5" w:rsidRDefault="001542D5" w:rsidP="00DA17A3">
      <w:pPr>
        <w:autoSpaceDE w:val="0"/>
        <w:autoSpaceDN w:val="0"/>
        <w:adjustRightInd w:val="0"/>
        <w:spacing w:after="0" w:line="240" w:lineRule="auto"/>
        <w:rPr>
          <w:rFonts w:ascii="Arial" w:hAnsi="Arial" w:cs="Arial"/>
          <w:b/>
          <w:bCs/>
          <w:color w:val="000000"/>
          <w:sz w:val="24"/>
          <w:szCs w:val="24"/>
        </w:rPr>
      </w:pPr>
      <w:r w:rsidRPr="001542D5">
        <w:rPr>
          <w:rFonts w:ascii="Arial" w:hAnsi="Arial" w:cs="Arial"/>
          <w:b/>
          <w:bCs/>
          <w:color w:val="000000"/>
          <w:sz w:val="24"/>
          <w:szCs w:val="24"/>
        </w:rPr>
        <w:t xml:space="preserve">Zu </w:t>
      </w:r>
      <w:r w:rsidR="00DA17A3" w:rsidRPr="001542D5">
        <w:rPr>
          <w:rFonts w:ascii="Arial" w:hAnsi="Arial" w:cs="Arial"/>
          <w:b/>
          <w:bCs/>
          <w:color w:val="000000"/>
          <w:sz w:val="24"/>
          <w:szCs w:val="24"/>
        </w:rPr>
        <w:t xml:space="preserve">Artikel 3 </w:t>
      </w:r>
      <w:r>
        <w:rPr>
          <w:rFonts w:ascii="Arial" w:hAnsi="Arial" w:cs="Arial"/>
          <w:b/>
          <w:bCs/>
          <w:color w:val="000000"/>
          <w:sz w:val="24"/>
          <w:szCs w:val="24"/>
        </w:rPr>
        <w:t xml:space="preserve">- </w:t>
      </w:r>
      <w:r w:rsidR="00DA17A3" w:rsidRPr="001542D5">
        <w:rPr>
          <w:rFonts w:ascii="Arial" w:hAnsi="Arial" w:cs="Arial"/>
          <w:b/>
          <w:bCs/>
          <w:color w:val="000000"/>
          <w:sz w:val="24"/>
          <w:szCs w:val="24"/>
        </w:rPr>
        <w:t>Beschaffung von Leistungen z</w:t>
      </w:r>
      <w:r>
        <w:rPr>
          <w:rFonts w:ascii="Arial" w:hAnsi="Arial" w:cs="Arial"/>
          <w:b/>
          <w:bCs/>
          <w:color w:val="000000"/>
          <w:sz w:val="24"/>
          <w:szCs w:val="24"/>
        </w:rPr>
        <w:t>ur medizinischen Rehabilitation</w:t>
      </w:r>
    </w:p>
    <w:p w:rsidR="00DA17A3" w:rsidRPr="001542D5" w:rsidRDefault="00DA17A3" w:rsidP="00DA17A3">
      <w:pPr>
        <w:autoSpaceDE w:val="0"/>
        <w:autoSpaceDN w:val="0"/>
        <w:adjustRightInd w:val="0"/>
        <w:spacing w:after="0" w:line="240" w:lineRule="auto"/>
        <w:rPr>
          <w:rFonts w:ascii="Arial" w:hAnsi="Arial" w:cs="Arial"/>
          <w:b/>
          <w:bCs/>
          <w:color w:val="000000"/>
          <w:sz w:val="24"/>
          <w:szCs w:val="24"/>
        </w:rPr>
      </w:pPr>
    </w:p>
    <w:p w:rsidR="00C313BE" w:rsidRDefault="001811E5" w:rsidP="001542D5">
      <w:pPr>
        <w:autoSpaceDE w:val="0"/>
        <w:autoSpaceDN w:val="0"/>
        <w:adjustRightInd w:val="0"/>
        <w:spacing w:before="120" w:after="120" w:line="240" w:lineRule="auto"/>
        <w:rPr>
          <w:rFonts w:ascii="Arial" w:hAnsi="Arial" w:cs="Arial"/>
          <w:color w:val="000000"/>
          <w:sz w:val="24"/>
          <w:szCs w:val="24"/>
        </w:rPr>
      </w:pPr>
      <w:r w:rsidRPr="001811E5">
        <w:rPr>
          <w:rFonts w:ascii="Arial" w:hAnsi="Arial" w:cs="Arial"/>
          <w:color w:val="000000"/>
          <w:sz w:val="24"/>
          <w:szCs w:val="24"/>
        </w:rPr>
        <w:lastRenderedPageBreak/>
        <w:t xml:space="preserve">In Artikel 3 des Referentenentwurfs </w:t>
      </w:r>
      <w:r>
        <w:rPr>
          <w:rFonts w:ascii="Arial" w:hAnsi="Arial" w:cs="Arial"/>
          <w:color w:val="000000"/>
          <w:sz w:val="24"/>
          <w:szCs w:val="24"/>
        </w:rPr>
        <w:t>wird das Leistungserbringungsrecht der R</w:t>
      </w:r>
      <w:r w:rsidRPr="001811E5">
        <w:rPr>
          <w:rFonts w:ascii="Arial" w:hAnsi="Arial" w:cs="Arial"/>
          <w:color w:val="000000"/>
          <w:sz w:val="24"/>
          <w:szCs w:val="24"/>
        </w:rPr>
        <w:t>ehabilitation</w:t>
      </w:r>
      <w:r>
        <w:rPr>
          <w:rFonts w:ascii="Arial" w:hAnsi="Arial" w:cs="Arial"/>
          <w:color w:val="000000"/>
          <w:sz w:val="24"/>
          <w:szCs w:val="24"/>
        </w:rPr>
        <w:t xml:space="preserve"> im</w:t>
      </w:r>
      <w:r w:rsidRPr="001811E5">
        <w:rPr>
          <w:rFonts w:ascii="Arial" w:hAnsi="Arial" w:cs="Arial"/>
          <w:color w:val="000000"/>
          <w:sz w:val="24"/>
          <w:szCs w:val="24"/>
        </w:rPr>
        <w:t xml:space="preserve"> SGB VI</w:t>
      </w:r>
      <w:r>
        <w:rPr>
          <w:rFonts w:ascii="Arial" w:hAnsi="Arial" w:cs="Arial"/>
          <w:color w:val="000000"/>
          <w:sz w:val="24"/>
          <w:szCs w:val="24"/>
        </w:rPr>
        <w:t xml:space="preserve"> einsch</w:t>
      </w:r>
      <w:r w:rsidR="00D84E12">
        <w:rPr>
          <w:rFonts w:ascii="Arial" w:hAnsi="Arial" w:cs="Arial"/>
          <w:color w:val="000000"/>
          <w:sz w:val="24"/>
          <w:szCs w:val="24"/>
        </w:rPr>
        <w:t>ließlich der Vergütung d</w:t>
      </w:r>
      <w:r>
        <w:rPr>
          <w:rFonts w:ascii="Arial" w:hAnsi="Arial" w:cs="Arial"/>
          <w:color w:val="000000"/>
          <w:sz w:val="24"/>
          <w:szCs w:val="24"/>
        </w:rPr>
        <w:t>er Leistungen neu geregelt. Ziel ist es insbesondere, die Vorgaben des</w:t>
      </w:r>
      <w:r w:rsidRPr="001811E5">
        <w:rPr>
          <w:rFonts w:ascii="Arial" w:hAnsi="Arial" w:cs="Arial"/>
          <w:color w:val="000000"/>
          <w:sz w:val="24"/>
          <w:szCs w:val="24"/>
        </w:rPr>
        <w:t xml:space="preserve"> europäischen </w:t>
      </w:r>
      <w:r w:rsidR="001542D5">
        <w:rPr>
          <w:rFonts w:ascii="Arial" w:hAnsi="Arial" w:cs="Arial"/>
          <w:color w:val="000000"/>
          <w:sz w:val="24"/>
          <w:szCs w:val="24"/>
        </w:rPr>
        <w:t>Wettbewerbs</w:t>
      </w:r>
      <w:r w:rsidRPr="001811E5">
        <w:rPr>
          <w:rFonts w:ascii="Arial" w:hAnsi="Arial" w:cs="Arial"/>
          <w:color w:val="000000"/>
          <w:sz w:val="24"/>
          <w:szCs w:val="24"/>
        </w:rPr>
        <w:t>recht</w:t>
      </w:r>
      <w:r>
        <w:rPr>
          <w:rFonts w:ascii="Arial" w:hAnsi="Arial" w:cs="Arial"/>
          <w:color w:val="000000"/>
          <w:sz w:val="24"/>
          <w:szCs w:val="24"/>
        </w:rPr>
        <w:t>s einzuhalten</w:t>
      </w:r>
      <w:r w:rsidR="00D84E12">
        <w:rPr>
          <w:rFonts w:ascii="Arial" w:hAnsi="Arial" w:cs="Arial"/>
          <w:color w:val="000000"/>
          <w:sz w:val="24"/>
          <w:szCs w:val="24"/>
        </w:rPr>
        <w:t xml:space="preserve">. </w:t>
      </w:r>
      <w:r w:rsidR="00C313BE">
        <w:rPr>
          <w:rFonts w:ascii="Arial" w:hAnsi="Arial" w:cs="Arial"/>
          <w:color w:val="000000"/>
          <w:sz w:val="24"/>
          <w:szCs w:val="24"/>
        </w:rPr>
        <w:t>Zulassung</w:t>
      </w:r>
      <w:r w:rsidR="005C331D">
        <w:rPr>
          <w:rFonts w:ascii="Arial" w:hAnsi="Arial" w:cs="Arial"/>
          <w:color w:val="000000"/>
          <w:sz w:val="24"/>
          <w:szCs w:val="24"/>
        </w:rPr>
        <w:t>s- und</w:t>
      </w:r>
      <w:r w:rsidR="00C313BE">
        <w:rPr>
          <w:rFonts w:ascii="Arial" w:hAnsi="Arial" w:cs="Arial"/>
          <w:color w:val="000000"/>
          <w:sz w:val="24"/>
          <w:szCs w:val="24"/>
        </w:rPr>
        <w:t xml:space="preserve"> Belegung</w:t>
      </w:r>
      <w:r w:rsidR="005C331D">
        <w:rPr>
          <w:rFonts w:ascii="Arial" w:hAnsi="Arial" w:cs="Arial"/>
          <w:color w:val="000000"/>
          <w:sz w:val="24"/>
          <w:szCs w:val="24"/>
        </w:rPr>
        <w:t xml:space="preserve">sentscheidung der Rentenversicherung </w:t>
      </w:r>
      <w:r w:rsidR="00D84E12">
        <w:rPr>
          <w:rFonts w:ascii="Arial" w:hAnsi="Arial" w:cs="Arial"/>
          <w:color w:val="000000"/>
          <w:sz w:val="24"/>
          <w:szCs w:val="24"/>
        </w:rPr>
        <w:t xml:space="preserve">sollen daher </w:t>
      </w:r>
      <w:r w:rsidR="005C331D">
        <w:rPr>
          <w:rFonts w:ascii="Arial" w:hAnsi="Arial" w:cs="Arial"/>
          <w:color w:val="000000"/>
          <w:sz w:val="24"/>
          <w:szCs w:val="24"/>
        </w:rPr>
        <w:t>transparent und diskriminierungsfrei gestaltet werden</w:t>
      </w:r>
      <w:r>
        <w:rPr>
          <w:rFonts w:ascii="Arial" w:hAnsi="Arial" w:cs="Arial"/>
          <w:color w:val="000000"/>
          <w:sz w:val="24"/>
          <w:szCs w:val="24"/>
        </w:rPr>
        <w:t>.</w:t>
      </w:r>
      <w:r w:rsidR="004A7163" w:rsidRPr="004A7163">
        <w:t xml:space="preserve"> </w:t>
      </w:r>
    </w:p>
    <w:p w:rsidR="00C313BE" w:rsidRDefault="00C313BE" w:rsidP="001542D5">
      <w:pPr>
        <w:autoSpaceDE w:val="0"/>
        <w:autoSpaceDN w:val="0"/>
        <w:adjustRightInd w:val="0"/>
        <w:spacing w:before="120" w:after="120" w:line="240" w:lineRule="auto"/>
        <w:rPr>
          <w:rFonts w:ascii="Arial" w:hAnsi="Arial" w:cs="Arial"/>
          <w:color w:val="000000"/>
          <w:sz w:val="24"/>
          <w:szCs w:val="24"/>
        </w:rPr>
      </w:pPr>
      <w:r>
        <w:rPr>
          <w:rFonts w:ascii="Arial" w:hAnsi="Arial" w:cs="Arial"/>
          <w:color w:val="000000"/>
          <w:sz w:val="24"/>
          <w:szCs w:val="24"/>
        </w:rPr>
        <w:t xml:space="preserve">Der </w:t>
      </w:r>
      <w:r w:rsidR="00A16F96">
        <w:rPr>
          <w:rFonts w:ascii="Arial" w:hAnsi="Arial" w:cs="Arial"/>
          <w:color w:val="000000"/>
          <w:sz w:val="24"/>
          <w:szCs w:val="24"/>
        </w:rPr>
        <w:t>P</w:t>
      </w:r>
      <w:r w:rsidR="00EE0327">
        <w:rPr>
          <w:rFonts w:ascii="Arial" w:hAnsi="Arial" w:cs="Arial"/>
          <w:color w:val="000000"/>
          <w:sz w:val="24"/>
          <w:szCs w:val="24"/>
        </w:rPr>
        <w:t>aritätische</w:t>
      </w:r>
      <w:r>
        <w:rPr>
          <w:rFonts w:ascii="Arial" w:hAnsi="Arial" w:cs="Arial"/>
          <w:color w:val="000000"/>
          <w:sz w:val="24"/>
          <w:szCs w:val="24"/>
        </w:rPr>
        <w:t xml:space="preserve"> Gesamtverband begrüßt </w:t>
      </w:r>
      <w:r w:rsidR="004A7163">
        <w:rPr>
          <w:rFonts w:ascii="Arial" w:hAnsi="Arial" w:cs="Arial"/>
          <w:color w:val="000000"/>
          <w:sz w:val="24"/>
          <w:szCs w:val="24"/>
        </w:rPr>
        <w:t>die</w:t>
      </w:r>
      <w:r>
        <w:rPr>
          <w:rFonts w:ascii="Arial" w:hAnsi="Arial" w:cs="Arial"/>
          <w:color w:val="000000"/>
          <w:sz w:val="24"/>
          <w:szCs w:val="24"/>
        </w:rPr>
        <w:t xml:space="preserve"> Ziel</w:t>
      </w:r>
      <w:r w:rsidR="00141F0F">
        <w:rPr>
          <w:rFonts w:ascii="Arial" w:hAnsi="Arial" w:cs="Arial"/>
          <w:color w:val="000000"/>
          <w:sz w:val="24"/>
          <w:szCs w:val="24"/>
        </w:rPr>
        <w:t>e</w:t>
      </w:r>
      <w:r w:rsidR="004A7163">
        <w:rPr>
          <w:rFonts w:ascii="Arial" w:hAnsi="Arial" w:cs="Arial"/>
          <w:color w:val="000000"/>
          <w:sz w:val="24"/>
          <w:szCs w:val="24"/>
        </w:rPr>
        <w:t xml:space="preserve"> </w:t>
      </w:r>
      <w:r w:rsidR="00251F12">
        <w:rPr>
          <w:rFonts w:ascii="Arial" w:hAnsi="Arial" w:cs="Arial"/>
          <w:color w:val="000000"/>
          <w:sz w:val="24"/>
          <w:szCs w:val="24"/>
        </w:rPr>
        <w:t>d</w:t>
      </w:r>
      <w:r w:rsidR="004A7163">
        <w:rPr>
          <w:rFonts w:ascii="Arial" w:hAnsi="Arial" w:cs="Arial"/>
          <w:color w:val="000000"/>
          <w:sz w:val="24"/>
          <w:szCs w:val="24"/>
        </w:rPr>
        <w:t xml:space="preserve">es </w:t>
      </w:r>
      <w:r w:rsidR="00251F12">
        <w:rPr>
          <w:rFonts w:ascii="Arial" w:hAnsi="Arial" w:cs="Arial"/>
          <w:color w:val="000000"/>
          <w:sz w:val="24"/>
          <w:szCs w:val="24"/>
        </w:rPr>
        <w:t>Referentenentwurfs</w:t>
      </w:r>
      <w:r w:rsidR="004A7163">
        <w:rPr>
          <w:rFonts w:ascii="Arial" w:hAnsi="Arial" w:cs="Arial"/>
          <w:color w:val="000000"/>
          <w:sz w:val="24"/>
          <w:szCs w:val="24"/>
        </w:rPr>
        <w:t xml:space="preserve"> ausdrücklich</w:t>
      </w:r>
      <w:r>
        <w:rPr>
          <w:rFonts w:ascii="Arial" w:hAnsi="Arial" w:cs="Arial"/>
          <w:color w:val="000000"/>
          <w:sz w:val="24"/>
          <w:szCs w:val="24"/>
        </w:rPr>
        <w:t xml:space="preserve">. </w:t>
      </w:r>
      <w:r w:rsidR="00251F12">
        <w:rPr>
          <w:rFonts w:ascii="Arial" w:hAnsi="Arial" w:cs="Arial"/>
          <w:color w:val="000000"/>
          <w:sz w:val="24"/>
          <w:szCs w:val="24"/>
        </w:rPr>
        <w:t>Allerdings können seiner Ansicht nach</w:t>
      </w:r>
      <w:r w:rsidR="004A7163">
        <w:rPr>
          <w:rFonts w:ascii="Arial" w:hAnsi="Arial" w:cs="Arial"/>
          <w:color w:val="000000"/>
          <w:sz w:val="24"/>
          <w:szCs w:val="24"/>
        </w:rPr>
        <w:t xml:space="preserve"> diese </w:t>
      </w:r>
      <w:r w:rsidR="00251F12">
        <w:rPr>
          <w:rFonts w:ascii="Arial" w:hAnsi="Arial" w:cs="Arial"/>
          <w:color w:val="000000"/>
          <w:sz w:val="24"/>
          <w:szCs w:val="24"/>
        </w:rPr>
        <w:t xml:space="preserve">Ziele </w:t>
      </w:r>
      <w:r w:rsidR="004A7163">
        <w:rPr>
          <w:rFonts w:ascii="Arial" w:hAnsi="Arial" w:cs="Arial"/>
          <w:color w:val="000000"/>
          <w:sz w:val="24"/>
          <w:szCs w:val="24"/>
        </w:rPr>
        <w:t xml:space="preserve">mit den vorgeschlagenen Neuregelungen </w:t>
      </w:r>
      <w:r w:rsidR="00251F12">
        <w:rPr>
          <w:rFonts w:ascii="Arial" w:hAnsi="Arial" w:cs="Arial"/>
          <w:color w:val="000000"/>
          <w:sz w:val="24"/>
          <w:szCs w:val="24"/>
        </w:rPr>
        <w:t xml:space="preserve">nicht </w:t>
      </w:r>
      <w:r w:rsidR="004A7163">
        <w:rPr>
          <w:rFonts w:ascii="Arial" w:hAnsi="Arial" w:cs="Arial"/>
          <w:color w:val="000000"/>
          <w:sz w:val="24"/>
          <w:szCs w:val="24"/>
        </w:rPr>
        <w:t xml:space="preserve">erreicht werden. </w:t>
      </w:r>
    </w:p>
    <w:p w:rsidR="0077716D" w:rsidRDefault="0077716D" w:rsidP="00DA17A3">
      <w:pPr>
        <w:autoSpaceDE w:val="0"/>
        <w:autoSpaceDN w:val="0"/>
        <w:adjustRightInd w:val="0"/>
        <w:spacing w:before="120" w:after="120" w:line="240" w:lineRule="auto"/>
        <w:jc w:val="both"/>
        <w:rPr>
          <w:rFonts w:ascii="Arial" w:hAnsi="Arial" w:cs="Arial"/>
          <w:color w:val="000000"/>
          <w:sz w:val="24"/>
          <w:szCs w:val="24"/>
        </w:rPr>
      </w:pPr>
    </w:p>
    <w:p w:rsidR="00251F12" w:rsidRPr="00212182" w:rsidRDefault="00251F12" w:rsidP="00251F12">
      <w:pPr>
        <w:pStyle w:val="Listenabsatz"/>
        <w:numPr>
          <w:ilvl w:val="0"/>
          <w:numId w:val="1"/>
        </w:numPr>
        <w:rPr>
          <w:rFonts w:ascii="Arial" w:hAnsi="Arial" w:cs="Arial"/>
          <w:b/>
          <w:sz w:val="24"/>
          <w:szCs w:val="24"/>
        </w:rPr>
      </w:pPr>
      <w:r w:rsidRPr="00212182">
        <w:rPr>
          <w:rFonts w:ascii="Arial" w:hAnsi="Arial" w:cs="Arial"/>
          <w:b/>
          <w:sz w:val="24"/>
          <w:szCs w:val="24"/>
        </w:rPr>
        <w:t xml:space="preserve">Das Wunsch- und Wahlrechts wirksam ausgestalten </w:t>
      </w:r>
    </w:p>
    <w:p w:rsidR="00251F12" w:rsidRDefault="00A16F96" w:rsidP="00251F12">
      <w:pPr>
        <w:rPr>
          <w:rFonts w:ascii="Arial" w:hAnsi="Arial" w:cs="Arial"/>
          <w:sz w:val="24"/>
          <w:szCs w:val="24"/>
        </w:rPr>
      </w:pPr>
      <w:r>
        <w:rPr>
          <w:rFonts w:ascii="Arial" w:hAnsi="Arial" w:cs="Arial"/>
          <w:sz w:val="24"/>
          <w:szCs w:val="24"/>
        </w:rPr>
        <w:t>Der P</w:t>
      </w:r>
      <w:r w:rsidR="00EE0327">
        <w:rPr>
          <w:rFonts w:ascii="Arial" w:hAnsi="Arial" w:cs="Arial"/>
          <w:sz w:val="24"/>
          <w:szCs w:val="24"/>
        </w:rPr>
        <w:t>aritätische</w:t>
      </w:r>
      <w:r w:rsidR="00251F12">
        <w:rPr>
          <w:rFonts w:ascii="Arial" w:hAnsi="Arial" w:cs="Arial"/>
          <w:sz w:val="24"/>
          <w:szCs w:val="24"/>
        </w:rPr>
        <w:t xml:space="preserve"> begrüßt, dass das Wunsch- und Wahlrecht im vorgelegten Referentenentwurf gestärkt werden soll. Leider ist es nicht so wirksam ausgestaltet, als das es das Ziel der Vergaberechtskonformität rechtssicher erreichen könnte. </w:t>
      </w:r>
    </w:p>
    <w:p w:rsidR="00251F12" w:rsidRDefault="00251F12" w:rsidP="00251F12">
      <w:pPr>
        <w:rPr>
          <w:rFonts w:ascii="Arial" w:hAnsi="Arial" w:cs="Arial"/>
          <w:sz w:val="24"/>
          <w:szCs w:val="24"/>
        </w:rPr>
      </w:pPr>
      <w:r>
        <w:rPr>
          <w:rFonts w:ascii="Arial" w:hAnsi="Arial" w:cs="Arial"/>
          <w:sz w:val="24"/>
          <w:szCs w:val="24"/>
        </w:rPr>
        <w:t xml:space="preserve">Die Belegungsentscheidung im konkreten Einzelfall wird nach wie vor durch die Rentenversicherung getroffen. Wie das Wunsch- und Wahlrecht hierbei konkret zu berücksichtigen </w:t>
      </w:r>
      <w:r w:rsidR="00A16F96">
        <w:rPr>
          <w:rFonts w:ascii="Arial" w:hAnsi="Arial" w:cs="Arial"/>
          <w:sz w:val="24"/>
          <w:szCs w:val="24"/>
        </w:rPr>
        <w:t>ist</w:t>
      </w:r>
      <w:r>
        <w:rPr>
          <w:rFonts w:ascii="Arial" w:hAnsi="Arial" w:cs="Arial"/>
          <w:sz w:val="24"/>
          <w:szCs w:val="24"/>
        </w:rPr>
        <w:t xml:space="preserve">, ist nicht geklärt bzw. </w:t>
      </w:r>
      <w:r w:rsidR="00A16F96">
        <w:rPr>
          <w:rFonts w:ascii="Arial" w:hAnsi="Arial" w:cs="Arial"/>
          <w:sz w:val="24"/>
          <w:szCs w:val="24"/>
        </w:rPr>
        <w:t xml:space="preserve">ist </w:t>
      </w:r>
      <w:r>
        <w:rPr>
          <w:rFonts w:ascii="Arial" w:hAnsi="Arial" w:cs="Arial"/>
          <w:sz w:val="24"/>
          <w:szCs w:val="24"/>
        </w:rPr>
        <w:t xml:space="preserve">der Gewichtungsentscheidung der DRV Bund nach § 15 Abs. 9 Nr. 3 SGB VI überlassen. </w:t>
      </w:r>
      <w:r w:rsidRPr="003C16D0">
        <w:rPr>
          <w:rFonts w:ascii="Arial" w:hAnsi="Arial" w:cs="Arial"/>
          <w:sz w:val="24"/>
          <w:szCs w:val="24"/>
        </w:rPr>
        <w:t>Somit könnte das Wunsch- und Wahlrecht in der Entscheidungspraxis stets wirtschaftlichen</w:t>
      </w:r>
      <w:r>
        <w:rPr>
          <w:rFonts w:ascii="Arial" w:hAnsi="Arial" w:cs="Arial"/>
          <w:sz w:val="24"/>
          <w:szCs w:val="24"/>
        </w:rPr>
        <w:t xml:space="preserve"> und anderen</w:t>
      </w:r>
      <w:r w:rsidR="00EE0327">
        <w:rPr>
          <w:rFonts w:ascii="Arial" w:hAnsi="Arial" w:cs="Arial"/>
          <w:sz w:val="24"/>
          <w:szCs w:val="24"/>
        </w:rPr>
        <w:t xml:space="preserve"> Aspekten untergeordnet werden, insbesondere auch der Bevorzugung von Eigeneinrichtungen der Rentenversicherungsträger.</w:t>
      </w:r>
    </w:p>
    <w:p w:rsidR="00251F12" w:rsidRDefault="00251F12" w:rsidP="00251F12">
      <w:pPr>
        <w:rPr>
          <w:rFonts w:ascii="Arial" w:hAnsi="Arial" w:cs="Arial"/>
          <w:sz w:val="24"/>
          <w:szCs w:val="24"/>
        </w:rPr>
      </w:pPr>
      <w:r>
        <w:rPr>
          <w:rFonts w:ascii="Arial" w:hAnsi="Arial" w:cs="Arial"/>
          <w:sz w:val="24"/>
          <w:szCs w:val="24"/>
        </w:rPr>
        <w:t>Die Belegungsentscheidung des Rentenversicherungsträgers bleibt damit eine Auswahlentscheidung der Rehabilitationseinrichtung, die vergaberechtlich relevant sein könnte.</w:t>
      </w:r>
      <w:r>
        <w:rPr>
          <w:rStyle w:val="Funotenzeichen"/>
          <w:rFonts w:ascii="Arial" w:hAnsi="Arial" w:cs="Arial"/>
          <w:sz w:val="24"/>
          <w:szCs w:val="24"/>
        </w:rPr>
        <w:footnoteReference w:id="1"/>
      </w:r>
      <w:r w:rsidRPr="001F1372">
        <w:rPr>
          <w:rFonts w:ascii="Arial" w:hAnsi="Arial" w:cs="Arial"/>
          <w:sz w:val="24"/>
          <w:szCs w:val="24"/>
        </w:rPr>
        <w:t xml:space="preserve"> </w:t>
      </w:r>
      <w:r>
        <w:rPr>
          <w:rFonts w:ascii="Arial" w:hAnsi="Arial" w:cs="Arial"/>
          <w:sz w:val="24"/>
          <w:szCs w:val="24"/>
        </w:rPr>
        <w:t xml:space="preserve">Zwar </w:t>
      </w:r>
      <w:r w:rsidR="0077716D">
        <w:rPr>
          <w:rFonts w:ascii="Arial" w:hAnsi="Arial" w:cs="Arial"/>
          <w:sz w:val="24"/>
          <w:szCs w:val="24"/>
        </w:rPr>
        <w:t>überschreitet</w:t>
      </w:r>
      <w:r>
        <w:rPr>
          <w:rFonts w:ascii="Arial" w:hAnsi="Arial" w:cs="Arial"/>
          <w:sz w:val="24"/>
          <w:szCs w:val="24"/>
        </w:rPr>
        <w:t xml:space="preserve"> die einzelne Auswahlentscheidung die europäischen Schwellenwerte nicht. Allerdings könnte die ganze Konstruktion als Umgehungsversuch des Vergaberechts gewertet werden. Das Zulassungs- und Belegungsverfahren des Referentenentwurfs ist jedenfalls nicht mit einem </w:t>
      </w:r>
      <w:r w:rsidR="0077716D">
        <w:rPr>
          <w:rFonts w:ascii="Arial" w:hAnsi="Arial" w:cs="Arial"/>
          <w:sz w:val="24"/>
          <w:szCs w:val="24"/>
        </w:rPr>
        <w:t xml:space="preserve">vergaberechtskonformen </w:t>
      </w:r>
      <w:r>
        <w:rPr>
          <w:rFonts w:ascii="Arial" w:hAnsi="Arial" w:cs="Arial"/>
          <w:sz w:val="24"/>
          <w:szCs w:val="24"/>
        </w:rPr>
        <w:t>„open-house“-Verfahren wie bei den Arzneimittelrabattverträgen vergleichbar</w:t>
      </w:r>
      <w:r w:rsidR="0077716D">
        <w:rPr>
          <w:rFonts w:ascii="Arial" w:hAnsi="Arial" w:cs="Arial"/>
          <w:sz w:val="24"/>
          <w:szCs w:val="24"/>
        </w:rPr>
        <w:t>. D</w:t>
      </w:r>
      <w:r>
        <w:rPr>
          <w:rFonts w:ascii="Arial" w:hAnsi="Arial" w:cs="Arial"/>
          <w:sz w:val="24"/>
          <w:szCs w:val="24"/>
        </w:rPr>
        <w:t xml:space="preserve">ort trifft der Kunde die finale Kaufentscheidung </w:t>
      </w:r>
      <w:r w:rsidR="0077716D">
        <w:rPr>
          <w:rFonts w:ascii="Arial" w:hAnsi="Arial" w:cs="Arial"/>
          <w:sz w:val="24"/>
          <w:szCs w:val="24"/>
        </w:rPr>
        <w:t xml:space="preserve">und </w:t>
      </w:r>
      <w:r w:rsidR="00A16F96">
        <w:rPr>
          <w:rFonts w:ascii="Arial" w:hAnsi="Arial" w:cs="Arial"/>
          <w:sz w:val="24"/>
          <w:szCs w:val="24"/>
        </w:rPr>
        <w:t>wählt damit den z</w:t>
      </w:r>
      <w:r>
        <w:rPr>
          <w:rFonts w:ascii="Arial" w:hAnsi="Arial" w:cs="Arial"/>
          <w:sz w:val="24"/>
          <w:szCs w:val="24"/>
        </w:rPr>
        <w:t>um Markt zugelassenen Leistu</w:t>
      </w:r>
      <w:r w:rsidR="00A16F96">
        <w:rPr>
          <w:rFonts w:ascii="Arial" w:hAnsi="Arial" w:cs="Arial"/>
          <w:sz w:val="24"/>
          <w:szCs w:val="24"/>
        </w:rPr>
        <w:t>ngserbringer aus</w:t>
      </w:r>
      <w:r>
        <w:rPr>
          <w:rFonts w:ascii="Arial" w:hAnsi="Arial" w:cs="Arial"/>
          <w:sz w:val="24"/>
          <w:szCs w:val="24"/>
        </w:rPr>
        <w:t xml:space="preserve">.  </w:t>
      </w:r>
    </w:p>
    <w:p w:rsidR="00251F12" w:rsidRPr="0052358D" w:rsidRDefault="00251F12" w:rsidP="00251F12">
      <w:pPr>
        <w:rPr>
          <w:rFonts w:ascii="Arial" w:hAnsi="Arial" w:cs="Arial"/>
          <w:sz w:val="24"/>
          <w:szCs w:val="24"/>
        </w:rPr>
      </w:pPr>
      <w:r>
        <w:rPr>
          <w:rFonts w:ascii="Arial" w:hAnsi="Arial" w:cs="Arial"/>
          <w:sz w:val="24"/>
          <w:szCs w:val="24"/>
        </w:rPr>
        <w:t xml:space="preserve">Es empfiehlt sich aus Sicht </w:t>
      </w:r>
      <w:r w:rsidR="00A16F96">
        <w:rPr>
          <w:rFonts w:ascii="Arial" w:hAnsi="Arial" w:cs="Arial"/>
          <w:sz w:val="24"/>
          <w:szCs w:val="24"/>
        </w:rPr>
        <w:t>des PARITÄTISCHEN</w:t>
      </w:r>
      <w:r>
        <w:rPr>
          <w:rFonts w:ascii="Arial" w:hAnsi="Arial" w:cs="Arial"/>
          <w:sz w:val="24"/>
          <w:szCs w:val="24"/>
        </w:rPr>
        <w:t xml:space="preserve">, die Leistungserbringung in einem „echten“ </w:t>
      </w:r>
      <w:r w:rsidRPr="0052358D">
        <w:rPr>
          <w:rFonts w:ascii="Arial" w:hAnsi="Arial" w:cs="Arial"/>
          <w:sz w:val="24"/>
          <w:szCs w:val="24"/>
        </w:rPr>
        <w:t>sozialrechtlichen Dreieck</w:t>
      </w:r>
      <w:r>
        <w:rPr>
          <w:rFonts w:ascii="Arial" w:hAnsi="Arial" w:cs="Arial"/>
          <w:sz w:val="24"/>
          <w:szCs w:val="24"/>
        </w:rPr>
        <w:t xml:space="preserve"> mit einem stark ausgestalteten Wunsch- und Wahlrecht des Leistungsberechtigten zu organisieren. Entsprechende Vorbilder finden sich </w:t>
      </w:r>
      <w:r w:rsidRPr="0052358D">
        <w:rPr>
          <w:rFonts w:ascii="Arial" w:hAnsi="Arial" w:cs="Arial"/>
          <w:sz w:val="24"/>
          <w:szCs w:val="24"/>
        </w:rPr>
        <w:t xml:space="preserve">etwa </w:t>
      </w:r>
      <w:r>
        <w:rPr>
          <w:rFonts w:ascii="Arial" w:hAnsi="Arial" w:cs="Arial"/>
          <w:sz w:val="24"/>
          <w:szCs w:val="24"/>
        </w:rPr>
        <w:t>in der Eingliederungshilfe des</w:t>
      </w:r>
      <w:r w:rsidRPr="0052358D">
        <w:rPr>
          <w:rFonts w:ascii="Arial" w:hAnsi="Arial" w:cs="Arial"/>
          <w:sz w:val="24"/>
          <w:szCs w:val="24"/>
        </w:rPr>
        <w:t xml:space="preserve"> 2. Teil</w:t>
      </w:r>
      <w:r>
        <w:rPr>
          <w:rFonts w:ascii="Arial" w:hAnsi="Arial" w:cs="Arial"/>
          <w:sz w:val="24"/>
          <w:szCs w:val="24"/>
        </w:rPr>
        <w:t>s</w:t>
      </w:r>
      <w:r w:rsidRPr="0052358D">
        <w:rPr>
          <w:rFonts w:ascii="Arial" w:hAnsi="Arial" w:cs="Arial"/>
          <w:sz w:val="24"/>
          <w:szCs w:val="24"/>
        </w:rPr>
        <w:t xml:space="preserve"> des SGB IX</w:t>
      </w:r>
      <w:r>
        <w:rPr>
          <w:rFonts w:ascii="Arial" w:hAnsi="Arial" w:cs="Arial"/>
          <w:sz w:val="24"/>
          <w:szCs w:val="24"/>
        </w:rPr>
        <w:t xml:space="preserve">, aber auch in der Sozialen Pflegeversicherung des SGB XI </w:t>
      </w:r>
      <w:r w:rsidRPr="0052358D">
        <w:rPr>
          <w:rFonts w:ascii="Arial" w:hAnsi="Arial" w:cs="Arial"/>
          <w:sz w:val="24"/>
          <w:szCs w:val="24"/>
        </w:rPr>
        <w:t xml:space="preserve">und ganz überwiegend auch im </w:t>
      </w:r>
      <w:r>
        <w:rPr>
          <w:rFonts w:ascii="Arial" w:hAnsi="Arial" w:cs="Arial"/>
          <w:sz w:val="24"/>
          <w:szCs w:val="24"/>
        </w:rPr>
        <w:t xml:space="preserve">SGB XII und SGB VIII. Nach absolut </w:t>
      </w:r>
      <w:r w:rsidRPr="0052358D">
        <w:rPr>
          <w:rFonts w:ascii="Arial" w:hAnsi="Arial" w:cs="Arial"/>
          <w:sz w:val="24"/>
          <w:szCs w:val="24"/>
        </w:rPr>
        <w:t xml:space="preserve">herrschender Meinung </w:t>
      </w:r>
      <w:r>
        <w:rPr>
          <w:rFonts w:ascii="Arial" w:hAnsi="Arial" w:cs="Arial"/>
          <w:sz w:val="24"/>
          <w:szCs w:val="24"/>
        </w:rPr>
        <w:t xml:space="preserve">steht die Leistungserbringung in einem echten sozialrechtlichen Dreieck </w:t>
      </w:r>
      <w:r w:rsidRPr="0052358D">
        <w:rPr>
          <w:rFonts w:ascii="Arial" w:hAnsi="Arial" w:cs="Arial"/>
          <w:sz w:val="24"/>
          <w:szCs w:val="24"/>
        </w:rPr>
        <w:t>mit dem Vergaberecht</w:t>
      </w:r>
      <w:r>
        <w:rPr>
          <w:rFonts w:ascii="Arial" w:hAnsi="Arial" w:cs="Arial"/>
          <w:sz w:val="24"/>
          <w:szCs w:val="24"/>
        </w:rPr>
        <w:t xml:space="preserve"> nicht in Konflikt</w:t>
      </w:r>
      <w:r w:rsidRPr="0052358D">
        <w:rPr>
          <w:rFonts w:ascii="Arial" w:hAnsi="Arial" w:cs="Arial"/>
          <w:sz w:val="24"/>
          <w:szCs w:val="24"/>
        </w:rPr>
        <w:t>.</w:t>
      </w:r>
    </w:p>
    <w:p w:rsidR="00F970DC" w:rsidRDefault="00F970DC" w:rsidP="00251F12">
      <w:pPr>
        <w:rPr>
          <w:rFonts w:ascii="Arial" w:hAnsi="Arial" w:cs="Arial"/>
          <w:b/>
          <w:i/>
          <w:sz w:val="24"/>
          <w:szCs w:val="24"/>
        </w:rPr>
      </w:pPr>
    </w:p>
    <w:p w:rsidR="00251F12" w:rsidRPr="00F970DC" w:rsidRDefault="00251F12" w:rsidP="00251F12">
      <w:pPr>
        <w:rPr>
          <w:rFonts w:ascii="Arial" w:hAnsi="Arial" w:cs="Arial"/>
          <w:b/>
          <w:sz w:val="24"/>
          <w:szCs w:val="24"/>
        </w:rPr>
      </w:pPr>
      <w:r w:rsidRPr="00F970DC">
        <w:rPr>
          <w:rFonts w:ascii="Arial" w:hAnsi="Arial" w:cs="Arial"/>
          <w:b/>
          <w:sz w:val="24"/>
          <w:szCs w:val="24"/>
        </w:rPr>
        <w:t xml:space="preserve">Der </w:t>
      </w:r>
      <w:r w:rsidR="00A16F96" w:rsidRPr="00F970DC">
        <w:rPr>
          <w:rFonts w:ascii="Arial" w:hAnsi="Arial" w:cs="Arial"/>
          <w:b/>
          <w:sz w:val="24"/>
          <w:szCs w:val="24"/>
        </w:rPr>
        <w:t>P</w:t>
      </w:r>
      <w:r w:rsidR="00F970DC" w:rsidRPr="00F970DC">
        <w:rPr>
          <w:rFonts w:ascii="Arial" w:hAnsi="Arial" w:cs="Arial"/>
          <w:b/>
          <w:sz w:val="24"/>
          <w:szCs w:val="24"/>
        </w:rPr>
        <w:t>aritätische</w:t>
      </w:r>
      <w:r w:rsidRPr="00F970DC">
        <w:rPr>
          <w:rFonts w:ascii="Arial" w:hAnsi="Arial" w:cs="Arial"/>
          <w:b/>
          <w:sz w:val="24"/>
          <w:szCs w:val="24"/>
        </w:rPr>
        <w:t xml:space="preserve"> fordert, das Wunsch- und Wahlrecht weiter auszudifferenzieren, etwa entsprechend dem Wunsch- und Wahlrecht der </w:t>
      </w:r>
      <w:r w:rsidRPr="00F970DC">
        <w:rPr>
          <w:rFonts w:ascii="Arial" w:hAnsi="Arial" w:cs="Arial"/>
          <w:b/>
          <w:sz w:val="24"/>
          <w:szCs w:val="24"/>
        </w:rPr>
        <w:lastRenderedPageBreak/>
        <w:t>Eingliederungshilfe in § 104 SGB IX, so dass Rechtsklarheit besteht, wann es und wie es im Verhältnis zu anderen Aspekten zum Tragen kommt.</w:t>
      </w:r>
    </w:p>
    <w:p w:rsidR="0077716D" w:rsidRDefault="0077716D" w:rsidP="0077716D">
      <w:pPr>
        <w:rPr>
          <w:rFonts w:ascii="Arial" w:hAnsi="Arial" w:cs="Arial"/>
          <w:b/>
          <w:sz w:val="24"/>
          <w:szCs w:val="24"/>
        </w:rPr>
      </w:pPr>
    </w:p>
    <w:p w:rsidR="0077716D" w:rsidRPr="0077716D" w:rsidRDefault="002C6D65" w:rsidP="0077716D">
      <w:pPr>
        <w:pStyle w:val="Listenabsatz"/>
        <w:numPr>
          <w:ilvl w:val="0"/>
          <w:numId w:val="1"/>
        </w:numPr>
        <w:rPr>
          <w:rFonts w:ascii="Arial" w:hAnsi="Arial" w:cs="Arial"/>
          <w:b/>
          <w:sz w:val="24"/>
          <w:szCs w:val="24"/>
        </w:rPr>
      </w:pPr>
      <w:r>
        <w:rPr>
          <w:rFonts w:ascii="Arial" w:hAnsi="Arial" w:cs="Arial"/>
          <w:b/>
          <w:sz w:val="24"/>
          <w:szCs w:val="24"/>
        </w:rPr>
        <w:t>Gemeinsame Selbstverwaltung;</w:t>
      </w:r>
      <w:r w:rsidR="00A16F96">
        <w:rPr>
          <w:rFonts w:ascii="Arial" w:hAnsi="Arial" w:cs="Arial"/>
          <w:b/>
          <w:sz w:val="24"/>
          <w:szCs w:val="24"/>
        </w:rPr>
        <w:t xml:space="preserve"> </w:t>
      </w:r>
      <w:r w:rsidR="0077716D" w:rsidRPr="0077716D">
        <w:rPr>
          <w:rFonts w:ascii="Arial" w:hAnsi="Arial" w:cs="Arial"/>
          <w:b/>
          <w:sz w:val="24"/>
          <w:szCs w:val="24"/>
        </w:rPr>
        <w:t>Leistungserbringungsrecht der medizinischen Rehabilitation vereinheitlichen</w:t>
      </w:r>
    </w:p>
    <w:p w:rsidR="00A16F96" w:rsidRDefault="0077716D" w:rsidP="0077716D">
      <w:pPr>
        <w:rPr>
          <w:rFonts w:ascii="Arial" w:hAnsi="Arial" w:cs="Arial"/>
          <w:sz w:val="24"/>
          <w:szCs w:val="24"/>
        </w:rPr>
      </w:pPr>
      <w:r>
        <w:rPr>
          <w:rFonts w:ascii="Arial" w:hAnsi="Arial" w:cs="Arial"/>
          <w:sz w:val="24"/>
          <w:szCs w:val="24"/>
        </w:rPr>
        <w:t xml:space="preserve">Es ist zu bemängeln, dass </w:t>
      </w:r>
      <w:r w:rsidR="00A16F96">
        <w:rPr>
          <w:rFonts w:ascii="Arial" w:hAnsi="Arial" w:cs="Arial"/>
          <w:sz w:val="24"/>
          <w:szCs w:val="24"/>
        </w:rPr>
        <w:t>der</w:t>
      </w:r>
      <w:r>
        <w:rPr>
          <w:rFonts w:ascii="Arial" w:hAnsi="Arial" w:cs="Arial"/>
          <w:sz w:val="24"/>
          <w:szCs w:val="24"/>
        </w:rPr>
        <w:t xml:space="preserve"> Referentenentwurf keine g</w:t>
      </w:r>
      <w:r w:rsidRPr="006C5ED5">
        <w:rPr>
          <w:rFonts w:ascii="Arial" w:hAnsi="Arial" w:cs="Arial"/>
          <w:sz w:val="24"/>
          <w:szCs w:val="24"/>
        </w:rPr>
        <w:t>emeinsame Selbstverwaltung von Reha-Trägern</w:t>
      </w:r>
      <w:r>
        <w:rPr>
          <w:rFonts w:ascii="Arial" w:hAnsi="Arial" w:cs="Arial"/>
          <w:sz w:val="24"/>
          <w:szCs w:val="24"/>
        </w:rPr>
        <w:t xml:space="preserve"> und </w:t>
      </w:r>
      <w:r w:rsidRPr="006C5ED5">
        <w:rPr>
          <w:rFonts w:ascii="Arial" w:hAnsi="Arial" w:cs="Arial"/>
          <w:sz w:val="24"/>
          <w:szCs w:val="24"/>
        </w:rPr>
        <w:t>Leistungserbringern unter Einbeziehung der Verbände der Menschen mit Be</w:t>
      </w:r>
      <w:r>
        <w:rPr>
          <w:rFonts w:ascii="Arial" w:hAnsi="Arial" w:cs="Arial"/>
          <w:sz w:val="24"/>
          <w:szCs w:val="24"/>
        </w:rPr>
        <w:t xml:space="preserve">hinderungen und der Selbsthilfe </w:t>
      </w:r>
      <w:r w:rsidR="00A16F96">
        <w:rPr>
          <w:rFonts w:ascii="Arial" w:hAnsi="Arial" w:cs="Arial"/>
          <w:sz w:val="24"/>
          <w:szCs w:val="24"/>
        </w:rPr>
        <w:t>bei der medizinischen Rehabilitation nach dem SGB VI vorsieht</w:t>
      </w:r>
      <w:r>
        <w:rPr>
          <w:rFonts w:ascii="Arial" w:hAnsi="Arial" w:cs="Arial"/>
          <w:sz w:val="24"/>
          <w:szCs w:val="24"/>
        </w:rPr>
        <w:t xml:space="preserve">. </w:t>
      </w:r>
    </w:p>
    <w:p w:rsidR="002D6BDB" w:rsidRDefault="0077716D" w:rsidP="0077716D">
      <w:pPr>
        <w:rPr>
          <w:rFonts w:ascii="Arial" w:hAnsi="Arial" w:cs="Arial"/>
          <w:sz w:val="24"/>
          <w:szCs w:val="24"/>
        </w:rPr>
      </w:pPr>
      <w:r>
        <w:rPr>
          <w:rFonts w:ascii="Arial" w:hAnsi="Arial" w:cs="Arial"/>
          <w:sz w:val="24"/>
          <w:szCs w:val="24"/>
        </w:rPr>
        <w:t xml:space="preserve">Zulassungsverfahren, Leistungsbedingungen und Vergütungssystem sollen danach ausschließlich hoheitlich festgelegt werden. </w:t>
      </w:r>
      <w:r w:rsidR="00A16F96" w:rsidRPr="00A16F96">
        <w:rPr>
          <w:rFonts w:ascii="Arial" w:hAnsi="Arial" w:cs="Arial"/>
          <w:sz w:val="24"/>
          <w:szCs w:val="24"/>
        </w:rPr>
        <w:t>Die Reha-Einrichtungen müssen sich im Zulassungsverfahren u. a. verpflichten, das Qualitätssicherungsverfahren und das Vergütungssystem der Deutschen Rente</w:t>
      </w:r>
      <w:r w:rsidR="00A16F96">
        <w:rPr>
          <w:rFonts w:ascii="Arial" w:hAnsi="Arial" w:cs="Arial"/>
          <w:sz w:val="24"/>
          <w:szCs w:val="24"/>
        </w:rPr>
        <w:t>nversicherung Bund (DRV Bund) anzuerkennen</w:t>
      </w:r>
      <w:r w:rsidR="00A16F96" w:rsidRPr="00A16F96">
        <w:rPr>
          <w:rFonts w:ascii="Arial" w:hAnsi="Arial" w:cs="Arial"/>
          <w:sz w:val="24"/>
          <w:szCs w:val="24"/>
        </w:rPr>
        <w:t xml:space="preserve">. Die DRV Bund entscheidet </w:t>
      </w:r>
      <w:r w:rsidR="002D6BDB">
        <w:rPr>
          <w:rFonts w:ascii="Arial" w:hAnsi="Arial" w:cs="Arial"/>
          <w:sz w:val="24"/>
          <w:szCs w:val="24"/>
        </w:rPr>
        <w:t xml:space="preserve">nach § 15 Abs. 9 SGB VI im Alleingang verbindlich über: </w:t>
      </w:r>
    </w:p>
    <w:p w:rsidR="002D6BDB" w:rsidRDefault="00A16F96" w:rsidP="002D6BDB">
      <w:pPr>
        <w:pStyle w:val="Listenabsatz"/>
        <w:numPr>
          <w:ilvl w:val="0"/>
          <w:numId w:val="4"/>
        </w:numPr>
        <w:rPr>
          <w:rFonts w:ascii="Arial" w:hAnsi="Arial" w:cs="Arial"/>
          <w:sz w:val="24"/>
          <w:szCs w:val="24"/>
        </w:rPr>
      </w:pPr>
      <w:r w:rsidRPr="002D6BDB">
        <w:rPr>
          <w:rFonts w:ascii="Arial" w:hAnsi="Arial" w:cs="Arial"/>
          <w:sz w:val="24"/>
          <w:szCs w:val="24"/>
        </w:rPr>
        <w:t xml:space="preserve">die Anforderungen an die fachliche Einigung der Leistungserbringer, </w:t>
      </w:r>
    </w:p>
    <w:p w:rsidR="002D6BDB" w:rsidRDefault="00A16F96" w:rsidP="002D6BDB">
      <w:pPr>
        <w:pStyle w:val="Listenabsatz"/>
        <w:numPr>
          <w:ilvl w:val="0"/>
          <w:numId w:val="4"/>
        </w:numPr>
        <w:rPr>
          <w:rFonts w:ascii="Arial" w:hAnsi="Arial" w:cs="Arial"/>
          <w:sz w:val="24"/>
          <w:szCs w:val="24"/>
        </w:rPr>
      </w:pPr>
      <w:r w:rsidRPr="002D6BDB">
        <w:rPr>
          <w:rFonts w:ascii="Arial" w:hAnsi="Arial" w:cs="Arial"/>
          <w:sz w:val="24"/>
          <w:szCs w:val="24"/>
        </w:rPr>
        <w:t xml:space="preserve">ein Vergütungssystem, </w:t>
      </w:r>
    </w:p>
    <w:p w:rsidR="002D6BDB" w:rsidRDefault="00A16F96" w:rsidP="002D6BDB">
      <w:pPr>
        <w:pStyle w:val="Listenabsatz"/>
        <w:numPr>
          <w:ilvl w:val="0"/>
          <w:numId w:val="4"/>
        </w:numPr>
        <w:rPr>
          <w:rFonts w:ascii="Arial" w:hAnsi="Arial" w:cs="Arial"/>
          <w:sz w:val="24"/>
          <w:szCs w:val="24"/>
        </w:rPr>
      </w:pPr>
      <w:r w:rsidRPr="002D6BDB">
        <w:rPr>
          <w:rFonts w:ascii="Arial" w:hAnsi="Arial" w:cs="Arial"/>
          <w:sz w:val="24"/>
          <w:szCs w:val="24"/>
        </w:rPr>
        <w:t xml:space="preserve">Kriterien für die konkrete Inanspruchnahme eines Leistungserbringers </w:t>
      </w:r>
    </w:p>
    <w:p w:rsidR="00A16F96" w:rsidRPr="002D6BDB" w:rsidRDefault="00A16F96" w:rsidP="002D6BDB">
      <w:pPr>
        <w:pStyle w:val="Listenabsatz"/>
        <w:numPr>
          <w:ilvl w:val="0"/>
          <w:numId w:val="4"/>
        </w:numPr>
        <w:rPr>
          <w:rFonts w:ascii="Arial" w:hAnsi="Arial" w:cs="Arial"/>
          <w:sz w:val="24"/>
          <w:szCs w:val="24"/>
        </w:rPr>
      </w:pPr>
      <w:r w:rsidRPr="002D6BDB">
        <w:rPr>
          <w:rFonts w:ascii="Arial" w:hAnsi="Arial" w:cs="Arial"/>
          <w:sz w:val="24"/>
          <w:szCs w:val="24"/>
        </w:rPr>
        <w:t>die Form, in der sie das Qualitätssicherungsverfahren veröffentliche</w:t>
      </w:r>
      <w:r w:rsidR="002D6BDB">
        <w:rPr>
          <w:rFonts w:ascii="Arial" w:hAnsi="Arial" w:cs="Arial"/>
          <w:sz w:val="24"/>
          <w:szCs w:val="24"/>
        </w:rPr>
        <w:t>t</w:t>
      </w:r>
      <w:r w:rsidRPr="002D6BDB">
        <w:rPr>
          <w:rFonts w:ascii="Arial" w:hAnsi="Arial" w:cs="Arial"/>
          <w:sz w:val="24"/>
          <w:szCs w:val="24"/>
        </w:rPr>
        <w:t xml:space="preserve">. </w:t>
      </w:r>
    </w:p>
    <w:p w:rsidR="0077716D" w:rsidRDefault="0077716D" w:rsidP="0077716D">
      <w:pPr>
        <w:rPr>
          <w:rFonts w:ascii="Arial" w:hAnsi="Arial" w:cs="Arial"/>
          <w:sz w:val="24"/>
          <w:szCs w:val="24"/>
        </w:rPr>
      </w:pPr>
      <w:r>
        <w:rPr>
          <w:rFonts w:ascii="Arial" w:hAnsi="Arial" w:cs="Arial"/>
          <w:sz w:val="24"/>
          <w:szCs w:val="24"/>
        </w:rPr>
        <w:t xml:space="preserve">Auch der einzelne Leistungserbringer hat nach dem Referentenentwurf keinen Einfluss auf die von ihm erbrachten Leistungen und deren Vergütung. Obwohl </w:t>
      </w:r>
      <w:r w:rsidR="002D6BDB">
        <w:rPr>
          <w:rFonts w:ascii="Arial" w:hAnsi="Arial" w:cs="Arial"/>
          <w:sz w:val="24"/>
          <w:szCs w:val="24"/>
        </w:rPr>
        <w:t xml:space="preserve">er </w:t>
      </w:r>
      <w:r>
        <w:rPr>
          <w:rFonts w:ascii="Arial" w:hAnsi="Arial" w:cs="Arial"/>
          <w:sz w:val="24"/>
          <w:szCs w:val="24"/>
        </w:rPr>
        <w:t>V</w:t>
      </w:r>
      <w:r w:rsidR="002D6BDB">
        <w:rPr>
          <w:rFonts w:ascii="Arial" w:hAnsi="Arial" w:cs="Arial"/>
          <w:sz w:val="24"/>
          <w:szCs w:val="24"/>
        </w:rPr>
        <w:t>ersorgungs- und Vergütungsv</w:t>
      </w:r>
      <w:r>
        <w:rPr>
          <w:rFonts w:ascii="Arial" w:hAnsi="Arial" w:cs="Arial"/>
          <w:sz w:val="24"/>
          <w:szCs w:val="24"/>
        </w:rPr>
        <w:t>ereinbarung</w:t>
      </w:r>
      <w:r w:rsidR="002D6BDB">
        <w:rPr>
          <w:rFonts w:ascii="Arial" w:hAnsi="Arial" w:cs="Arial"/>
          <w:sz w:val="24"/>
          <w:szCs w:val="24"/>
        </w:rPr>
        <w:t xml:space="preserve"> abschließen soll, hat </w:t>
      </w:r>
      <w:r>
        <w:rPr>
          <w:rFonts w:ascii="Arial" w:hAnsi="Arial" w:cs="Arial"/>
          <w:sz w:val="24"/>
          <w:szCs w:val="24"/>
        </w:rPr>
        <w:t>er keine</w:t>
      </w:r>
      <w:r w:rsidR="002D6BDB">
        <w:rPr>
          <w:rFonts w:ascii="Arial" w:hAnsi="Arial" w:cs="Arial"/>
          <w:sz w:val="24"/>
          <w:szCs w:val="24"/>
        </w:rPr>
        <w:t>rlei</w:t>
      </w:r>
      <w:r>
        <w:rPr>
          <w:rFonts w:ascii="Arial" w:hAnsi="Arial" w:cs="Arial"/>
          <w:sz w:val="24"/>
          <w:szCs w:val="24"/>
        </w:rPr>
        <w:t xml:space="preserve"> Verhandlungsmacht und damit auch keine Verhandlungsspielräume. </w:t>
      </w:r>
      <w:r w:rsidR="002D6BDB">
        <w:rPr>
          <w:rFonts w:ascii="Arial" w:hAnsi="Arial" w:cs="Arial"/>
          <w:sz w:val="24"/>
          <w:szCs w:val="24"/>
        </w:rPr>
        <w:t>E</w:t>
      </w:r>
      <w:r>
        <w:rPr>
          <w:rFonts w:ascii="Arial" w:hAnsi="Arial" w:cs="Arial"/>
          <w:sz w:val="24"/>
          <w:szCs w:val="24"/>
        </w:rPr>
        <w:t>s werden ihm keine Rechtsschutzmöglichkeiten eingeräumt, seine Interessen</w:t>
      </w:r>
      <w:r w:rsidR="002D6BDB" w:rsidRPr="002D6BDB">
        <w:rPr>
          <w:rFonts w:ascii="Arial" w:hAnsi="Arial" w:cs="Arial"/>
          <w:sz w:val="24"/>
          <w:szCs w:val="24"/>
        </w:rPr>
        <w:t xml:space="preserve"> </w:t>
      </w:r>
      <w:r w:rsidR="002D6BDB">
        <w:rPr>
          <w:rFonts w:ascii="Arial" w:hAnsi="Arial" w:cs="Arial"/>
          <w:sz w:val="24"/>
          <w:szCs w:val="24"/>
        </w:rPr>
        <w:t>durchzusetzen</w:t>
      </w:r>
      <w:r>
        <w:rPr>
          <w:rFonts w:ascii="Arial" w:hAnsi="Arial" w:cs="Arial"/>
          <w:sz w:val="24"/>
          <w:szCs w:val="24"/>
        </w:rPr>
        <w:t xml:space="preserve">, die sich aus der Besonderheit seiner Einrichtung oder seines </w:t>
      </w:r>
      <w:proofErr w:type="spellStart"/>
      <w:r>
        <w:rPr>
          <w:rFonts w:ascii="Arial" w:hAnsi="Arial" w:cs="Arial"/>
          <w:sz w:val="24"/>
          <w:szCs w:val="24"/>
        </w:rPr>
        <w:t>Klientels</w:t>
      </w:r>
      <w:proofErr w:type="spellEnd"/>
      <w:r>
        <w:rPr>
          <w:rFonts w:ascii="Arial" w:hAnsi="Arial" w:cs="Arial"/>
          <w:sz w:val="24"/>
          <w:szCs w:val="24"/>
        </w:rPr>
        <w:t xml:space="preserve"> ergeben,</w:t>
      </w:r>
    </w:p>
    <w:p w:rsidR="002D6BDB" w:rsidRDefault="002D6BDB" w:rsidP="002D6BDB">
      <w:pPr>
        <w:rPr>
          <w:rFonts w:ascii="Arial" w:hAnsi="Arial" w:cs="Arial"/>
          <w:sz w:val="24"/>
          <w:szCs w:val="24"/>
        </w:rPr>
      </w:pPr>
      <w:r>
        <w:rPr>
          <w:rFonts w:ascii="Arial" w:hAnsi="Arial" w:cs="Arial"/>
          <w:sz w:val="24"/>
          <w:szCs w:val="24"/>
        </w:rPr>
        <w:t xml:space="preserve">Dieses Hoheitsprinzip verhindert, dass: </w:t>
      </w:r>
    </w:p>
    <w:p w:rsidR="002D6BDB" w:rsidRDefault="002D6BDB" w:rsidP="002D6BDB">
      <w:pPr>
        <w:pStyle w:val="Listenabsatz"/>
        <w:numPr>
          <w:ilvl w:val="0"/>
          <w:numId w:val="4"/>
        </w:numPr>
        <w:rPr>
          <w:rFonts w:ascii="Arial" w:hAnsi="Arial" w:cs="Arial"/>
          <w:sz w:val="24"/>
          <w:szCs w:val="24"/>
        </w:rPr>
      </w:pPr>
      <w:r w:rsidRPr="002D6BDB">
        <w:rPr>
          <w:rFonts w:ascii="Arial" w:hAnsi="Arial" w:cs="Arial"/>
          <w:sz w:val="24"/>
          <w:szCs w:val="24"/>
        </w:rPr>
        <w:t xml:space="preserve">die Expertise der Betroffenen und der Leistungserbringer bei der Festlegung der Leistungsbedingungen adäquat genutzt wird, </w:t>
      </w:r>
    </w:p>
    <w:p w:rsidR="002D6BDB" w:rsidRDefault="002D6BDB" w:rsidP="002D6BDB">
      <w:pPr>
        <w:pStyle w:val="Listenabsatz"/>
        <w:numPr>
          <w:ilvl w:val="0"/>
          <w:numId w:val="4"/>
        </w:numPr>
        <w:rPr>
          <w:rFonts w:ascii="Arial" w:hAnsi="Arial" w:cs="Arial"/>
          <w:sz w:val="24"/>
          <w:szCs w:val="24"/>
        </w:rPr>
      </w:pPr>
      <w:r w:rsidRPr="002D6BDB">
        <w:rPr>
          <w:rFonts w:ascii="Arial" w:hAnsi="Arial" w:cs="Arial"/>
          <w:sz w:val="24"/>
          <w:szCs w:val="24"/>
        </w:rPr>
        <w:t xml:space="preserve">dass widerstreitende Interessen fair zum Ausgleich gebracht werden </w:t>
      </w:r>
    </w:p>
    <w:p w:rsidR="002D6BDB" w:rsidRDefault="002D6BDB" w:rsidP="002D6BDB">
      <w:pPr>
        <w:pStyle w:val="Listenabsatz"/>
        <w:numPr>
          <w:ilvl w:val="0"/>
          <w:numId w:val="4"/>
        </w:numPr>
        <w:rPr>
          <w:rFonts w:ascii="Arial" w:hAnsi="Arial" w:cs="Arial"/>
          <w:sz w:val="24"/>
          <w:szCs w:val="24"/>
        </w:rPr>
      </w:pPr>
      <w:r>
        <w:rPr>
          <w:rFonts w:ascii="Arial" w:hAnsi="Arial" w:cs="Arial"/>
          <w:sz w:val="24"/>
          <w:szCs w:val="24"/>
        </w:rPr>
        <w:t xml:space="preserve">dass </w:t>
      </w:r>
      <w:r w:rsidRPr="002D6BDB">
        <w:rPr>
          <w:rFonts w:ascii="Arial" w:hAnsi="Arial" w:cs="Arial"/>
          <w:sz w:val="24"/>
          <w:szCs w:val="24"/>
        </w:rPr>
        <w:t xml:space="preserve">so bestmögliche und bedarfsgerechte Lösungen entwickelt werden. </w:t>
      </w:r>
    </w:p>
    <w:p w:rsidR="002D6BDB" w:rsidRPr="002D6BDB" w:rsidRDefault="002D6BDB" w:rsidP="002D6BDB">
      <w:pPr>
        <w:rPr>
          <w:rFonts w:ascii="Arial" w:hAnsi="Arial" w:cs="Arial"/>
          <w:sz w:val="24"/>
          <w:szCs w:val="24"/>
        </w:rPr>
      </w:pPr>
      <w:r w:rsidRPr="002D6BDB">
        <w:rPr>
          <w:rFonts w:ascii="Arial" w:hAnsi="Arial" w:cs="Arial"/>
          <w:sz w:val="24"/>
          <w:szCs w:val="24"/>
        </w:rPr>
        <w:t>Ein Anhörungsrecht der Leistungserbringerverbände, das nur in Bezug auf die sozialmedizinischen Kriterien in § 15 Abs. 9 am Ende SGB VI vorgesehen ist, ändert daran nichts.</w:t>
      </w:r>
    </w:p>
    <w:p w:rsidR="0077716D" w:rsidRDefault="0077716D" w:rsidP="0077716D">
      <w:pPr>
        <w:rPr>
          <w:rFonts w:ascii="Arial" w:hAnsi="Arial" w:cs="Arial"/>
          <w:sz w:val="24"/>
          <w:szCs w:val="24"/>
        </w:rPr>
      </w:pPr>
      <w:r>
        <w:rPr>
          <w:rFonts w:ascii="Arial" w:hAnsi="Arial" w:cs="Arial"/>
          <w:sz w:val="24"/>
          <w:szCs w:val="24"/>
        </w:rPr>
        <w:t>E</w:t>
      </w:r>
      <w:r w:rsidRPr="00ED3846">
        <w:rPr>
          <w:rFonts w:ascii="Arial" w:hAnsi="Arial" w:cs="Arial"/>
          <w:sz w:val="24"/>
          <w:szCs w:val="24"/>
        </w:rPr>
        <w:t>inseitige Festlegung</w:t>
      </w:r>
      <w:r>
        <w:rPr>
          <w:rFonts w:ascii="Arial" w:hAnsi="Arial" w:cs="Arial"/>
          <w:sz w:val="24"/>
          <w:szCs w:val="24"/>
        </w:rPr>
        <w:t>en seitens der Rentenversicherung – wie sie hier vorgesehen sind - haben keinerlei Mehrwert in Bezug auf die Vorgaben des Vergaberechts. Wie oben bereits ausgeführt, ist die Leistungserbringung im echten sozialrechtlichen Dreiecksverhältnis,</w:t>
      </w:r>
      <w:r w:rsidRPr="00DB6A02">
        <w:rPr>
          <w:rFonts w:ascii="Arial" w:hAnsi="Arial" w:cs="Arial"/>
          <w:sz w:val="24"/>
          <w:szCs w:val="24"/>
        </w:rPr>
        <w:t xml:space="preserve"> </w:t>
      </w:r>
      <w:r w:rsidR="00757F3A">
        <w:rPr>
          <w:rFonts w:ascii="Arial" w:hAnsi="Arial" w:cs="Arial"/>
          <w:sz w:val="24"/>
          <w:szCs w:val="24"/>
        </w:rPr>
        <w:t xml:space="preserve">welches </w:t>
      </w:r>
      <w:r>
        <w:rPr>
          <w:rFonts w:ascii="Arial" w:hAnsi="Arial" w:cs="Arial"/>
          <w:sz w:val="24"/>
          <w:szCs w:val="24"/>
        </w:rPr>
        <w:t>beispielsweise</w:t>
      </w:r>
      <w:r w:rsidR="00757F3A">
        <w:rPr>
          <w:rFonts w:ascii="Arial" w:hAnsi="Arial" w:cs="Arial"/>
          <w:sz w:val="24"/>
          <w:szCs w:val="24"/>
        </w:rPr>
        <w:t xml:space="preserve"> wie</w:t>
      </w:r>
      <w:r>
        <w:rPr>
          <w:rFonts w:ascii="Arial" w:hAnsi="Arial" w:cs="Arial"/>
          <w:sz w:val="24"/>
          <w:szCs w:val="24"/>
        </w:rPr>
        <w:t xml:space="preserve"> in der Einglieder</w:t>
      </w:r>
      <w:r w:rsidR="00757F3A">
        <w:rPr>
          <w:rFonts w:ascii="Arial" w:hAnsi="Arial" w:cs="Arial"/>
          <w:sz w:val="24"/>
          <w:szCs w:val="24"/>
        </w:rPr>
        <w:t xml:space="preserve">ungshilfe (§§ 123 ff. SGB IX) </w:t>
      </w:r>
      <w:r>
        <w:rPr>
          <w:rFonts w:ascii="Arial" w:hAnsi="Arial" w:cs="Arial"/>
          <w:sz w:val="24"/>
          <w:szCs w:val="24"/>
        </w:rPr>
        <w:t>auf dem Vereinbarungsprinzip beruht, nach ganz herrschender Meinung vergaberechtlich absolut unbedenklich.</w:t>
      </w:r>
    </w:p>
    <w:p w:rsidR="00BC407C" w:rsidRDefault="0077716D" w:rsidP="0077716D">
      <w:pPr>
        <w:rPr>
          <w:rFonts w:ascii="Arial" w:hAnsi="Arial" w:cs="Arial"/>
          <w:sz w:val="24"/>
          <w:szCs w:val="24"/>
        </w:rPr>
      </w:pPr>
      <w:r>
        <w:rPr>
          <w:rFonts w:ascii="Arial" w:hAnsi="Arial" w:cs="Arial"/>
          <w:sz w:val="24"/>
          <w:szCs w:val="24"/>
        </w:rPr>
        <w:t xml:space="preserve">Zudem weichen </w:t>
      </w:r>
      <w:r w:rsidR="00757F3A">
        <w:rPr>
          <w:rFonts w:ascii="Arial" w:hAnsi="Arial" w:cs="Arial"/>
          <w:sz w:val="24"/>
          <w:szCs w:val="24"/>
        </w:rPr>
        <w:t>die</w:t>
      </w:r>
      <w:r>
        <w:rPr>
          <w:rFonts w:ascii="Arial" w:hAnsi="Arial" w:cs="Arial"/>
          <w:sz w:val="24"/>
          <w:szCs w:val="24"/>
        </w:rPr>
        <w:t xml:space="preserve"> Regelungen</w:t>
      </w:r>
      <w:r w:rsidR="00757F3A">
        <w:rPr>
          <w:rFonts w:ascii="Arial" w:hAnsi="Arial" w:cs="Arial"/>
          <w:sz w:val="24"/>
          <w:szCs w:val="24"/>
        </w:rPr>
        <w:t xml:space="preserve"> des Referentenentwurfs</w:t>
      </w:r>
      <w:r>
        <w:rPr>
          <w:rFonts w:ascii="Arial" w:hAnsi="Arial" w:cs="Arial"/>
          <w:sz w:val="24"/>
          <w:szCs w:val="24"/>
        </w:rPr>
        <w:t xml:space="preserve"> wesentlich von denen der medizinischen Rehabilitation unter Verantwortung der Krankenkassen nach § 111 SGB V ab</w:t>
      </w:r>
      <w:r w:rsidR="00F86F78">
        <w:rPr>
          <w:rFonts w:ascii="Arial" w:hAnsi="Arial" w:cs="Arial"/>
          <w:sz w:val="24"/>
          <w:szCs w:val="24"/>
        </w:rPr>
        <w:t>.</w:t>
      </w:r>
      <w:r>
        <w:rPr>
          <w:rFonts w:ascii="Arial" w:hAnsi="Arial" w:cs="Arial"/>
          <w:sz w:val="24"/>
          <w:szCs w:val="24"/>
        </w:rPr>
        <w:t xml:space="preserve"> Dadurch wird das Recht der medizinischen Rehabilitation </w:t>
      </w:r>
      <w:r>
        <w:rPr>
          <w:rFonts w:ascii="Arial" w:hAnsi="Arial" w:cs="Arial"/>
          <w:sz w:val="24"/>
          <w:szCs w:val="24"/>
        </w:rPr>
        <w:lastRenderedPageBreak/>
        <w:t>auseinandergerissen mit den entsprechenden negativen F</w:t>
      </w:r>
      <w:r w:rsidR="00F444AE">
        <w:rPr>
          <w:rFonts w:ascii="Arial" w:hAnsi="Arial" w:cs="Arial"/>
          <w:sz w:val="24"/>
          <w:szCs w:val="24"/>
        </w:rPr>
        <w:t>olgen der Intransparenz und e</w:t>
      </w:r>
      <w:r>
        <w:rPr>
          <w:rFonts w:ascii="Arial" w:hAnsi="Arial" w:cs="Arial"/>
          <w:sz w:val="24"/>
          <w:szCs w:val="24"/>
        </w:rPr>
        <w:t xml:space="preserve">inem unnötig hohen Verwaltungsaufwand. Rehabilitationseinrichtungen, die in aller Regel sowohl von den Krankenkassen als auch von den Rentenversicherungen belegt werden, müssen unterschiedliche Zulassungs- und externe Qualitätssicherungsverfahren durchlaufen sowie verschiedene Vergütungssysteme beachten. Dies steht – nach Auffassung </w:t>
      </w:r>
      <w:r w:rsidR="00A16F96">
        <w:rPr>
          <w:rFonts w:ascii="Arial" w:hAnsi="Arial" w:cs="Arial"/>
          <w:sz w:val="24"/>
          <w:szCs w:val="24"/>
        </w:rPr>
        <w:t>des P</w:t>
      </w:r>
      <w:r w:rsidR="00F970DC">
        <w:rPr>
          <w:rFonts w:ascii="Arial" w:hAnsi="Arial" w:cs="Arial"/>
          <w:sz w:val="24"/>
          <w:szCs w:val="24"/>
        </w:rPr>
        <w:t>aritätischen</w:t>
      </w:r>
      <w:r>
        <w:rPr>
          <w:rFonts w:ascii="Arial" w:hAnsi="Arial" w:cs="Arial"/>
          <w:sz w:val="24"/>
          <w:szCs w:val="24"/>
        </w:rPr>
        <w:t xml:space="preserve"> – auch im Widerspruch zur Zielsetzung des SGB IX, 1. Teil, hier einen größeren Gleichklang </w:t>
      </w:r>
      <w:r w:rsidR="00BC407C">
        <w:rPr>
          <w:rFonts w:ascii="Arial" w:hAnsi="Arial" w:cs="Arial"/>
          <w:sz w:val="24"/>
          <w:szCs w:val="24"/>
        </w:rPr>
        <w:t>herbeizuführen</w:t>
      </w:r>
      <w:r w:rsidR="00F86F78">
        <w:rPr>
          <w:rFonts w:ascii="Arial" w:hAnsi="Arial" w:cs="Arial"/>
          <w:sz w:val="24"/>
          <w:szCs w:val="24"/>
        </w:rPr>
        <w:t xml:space="preserve">. </w:t>
      </w:r>
    </w:p>
    <w:p w:rsidR="00293461" w:rsidRDefault="00293461" w:rsidP="0077716D">
      <w:pPr>
        <w:rPr>
          <w:rFonts w:ascii="Arial" w:hAnsi="Arial" w:cs="Arial"/>
          <w:sz w:val="24"/>
          <w:szCs w:val="24"/>
        </w:rPr>
      </w:pPr>
      <w:r>
        <w:rPr>
          <w:rFonts w:ascii="Arial" w:hAnsi="Arial" w:cs="Arial"/>
          <w:sz w:val="24"/>
          <w:szCs w:val="24"/>
        </w:rPr>
        <w:t xml:space="preserve">Nach § 111 SGB V in der Fassung des IPREG vereinbaren die </w:t>
      </w:r>
      <w:r w:rsidRPr="00293461">
        <w:rPr>
          <w:rFonts w:ascii="Arial" w:hAnsi="Arial" w:cs="Arial"/>
          <w:sz w:val="24"/>
          <w:szCs w:val="24"/>
        </w:rPr>
        <w:t>Krankenkass</w:t>
      </w:r>
      <w:r>
        <w:rPr>
          <w:rFonts w:ascii="Arial" w:hAnsi="Arial" w:cs="Arial"/>
          <w:sz w:val="24"/>
          <w:szCs w:val="24"/>
        </w:rPr>
        <w:t>en und Spitzenverbände der Leis</w:t>
      </w:r>
      <w:r w:rsidRPr="00293461">
        <w:rPr>
          <w:rFonts w:ascii="Arial" w:hAnsi="Arial" w:cs="Arial"/>
          <w:sz w:val="24"/>
          <w:szCs w:val="24"/>
        </w:rPr>
        <w:t>tungserb</w:t>
      </w:r>
      <w:r>
        <w:rPr>
          <w:rFonts w:ascii="Arial" w:hAnsi="Arial" w:cs="Arial"/>
          <w:sz w:val="24"/>
          <w:szCs w:val="24"/>
        </w:rPr>
        <w:t>ringer</w:t>
      </w:r>
      <w:r w:rsidR="00757F3A">
        <w:rPr>
          <w:rFonts w:ascii="Arial" w:hAnsi="Arial" w:cs="Arial"/>
          <w:sz w:val="24"/>
          <w:szCs w:val="24"/>
        </w:rPr>
        <w:t xml:space="preserve"> Rahmenempfehlungen zu:</w:t>
      </w:r>
    </w:p>
    <w:p w:rsidR="00293461" w:rsidRDefault="00293461" w:rsidP="00293461">
      <w:pPr>
        <w:rPr>
          <w:rFonts w:ascii="Arial" w:hAnsi="Arial" w:cs="Arial"/>
          <w:sz w:val="24"/>
          <w:szCs w:val="24"/>
        </w:rPr>
      </w:pPr>
      <w:r>
        <w:rPr>
          <w:rFonts w:ascii="Arial" w:hAnsi="Arial" w:cs="Arial"/>
          <w:sz w:val="24"/>
          <w:szCs w:val="24"/>
        </w:rPr>
        <w:t xml:space="preserve">- </w:t>
      </w:r>
      <w:r w:rsidRPr="00293461">
        <w:rPr>
          <w:rFonts w:ascii="Arial" w:hAnsi="Arial" w:cs="Arial"/>
          <w:sz w:val="24"/>
          <w:szCs w:val="24"/>
        </w:rPr>
        <w:t>Inhalt, Umfang und Qualit</w:t>
      </w:r>
      <w:r>
        <w:rPr>
          <w:rFonts w:ascii="Arial" w:hAnsi="Arial" w:cs="Arial"/>
          <w:sz w:val="24"/>
          <w:szCs w:val="24"/>
        </w:rPr>
        <w:t>ät der Leistungen</w:t>
      </w:r>
    </w:p>
    <w:p w:rsidR="00293461" w:rsidRDefault="00293461" w:rsidP="00293461">
      <w:pPr>
        <w:rPr>
          <w:rFonts w:ascii="Arial" w:hAnsi="Arial" w:cs="Arial"/>
          <w:sz w:val="24"/>
          <w:szCs w:val="24"/>
        </w:rPr>
      </w:pPr>
      <w:r>
        <w:rPr>
          <w:rFonts w:ascii="Arial" w:hAnsi="Arial" w:cs="Arial"/>
          <w:sz w:val="24"/>
          <w:szCs w:val="24"/>
        </w:rPr>
        <w:t>- G</w:t>
      </w:r>
      <w:r w:rsidRPr="00293461">
        <w:rPr>
          <w:rFonts w:ascii="Arial" w:hAnsi="Arial" w:cs="Arial"/>
          <w:sz w:val="24"/>
          <w:szCs w:val="24"/>
        </w:rPr>
        <w:t>rundsätze</w:t>
      </w:r>
      <w:r w:rsidR="00956BB1">
        <w:rPr>
          <w:rFonts w:ascii="Arial" w:hAnsi="Arial" w:cs="Arial"/>
          <w:sz w:val="24"/>
          <w:szCs w:val="24"/>
        </w:rPr>
        <w:t>n</w:t>
      </w:r>
      <w:r w:rsidRPr="00293461">
        <w:rPr>
          <w:rFonts w:ascii="Arial" w:hAnsi="Arial" w:cs="Arial"/>
          <w:sz w:val="24"/>
          <w:szCs w:val="24"/>
        </w:rPr>
        <w:t xml:space="preserve"> einer leistungsgerechten Vergüt</w:t>
      </w:r>
      <w:r>
        <w:rPr>
          <w:rFonts w:ascii="Arial" w:hAnsi="Arial" w:cs="Arial"/>
          <w:sz w:val="24"/>
          <w:szCs w:val="24"/>
        </w:rPr>
        <w:t>ung und ihrer Strukturen</w:t>
      </w:r>
    </w:p>
    <w:p w:rsidR="00293461" w:rsidRDefault="00293461" w:rsidP="00293461">
      <w:pPr>
        <w:rPr>
          <w:rFonts w:ascii="Arial" w:hAnsi="Arial" w:cs="Arial"/>
          <w:sz w:val="24"/>
          <w:szCs w:val="24"/>
        </w:rPr>
      </w:pPr>
      <w:r>
        <w:rPr>
          <w:rFonts w:ascii="Arial" w:hAnsi="Arial" w:cs="Arial"/>
          <w:sz w:val="24"/>
          <w:szCs w:val="24"/>
        </w:rPr>
        <w:t>- V</w:t>
      </w:r>
      <w:r w:rsidRPr="00293461">
        <w:rPr>
          <w:rFonts w:ascii="Arial" w:hAnsi="Arial" w:cs="Arial"/>
          <w:sz w:val="24"/>
          <w:szCs w:val="24"/>
        </w:rPr>
        <w:t xml:space="preserve">erfahren </w:t>
      </w:r>
      <w:r>
        <w:rPr>
          <w:rFonts w:ascii="Arial" w:hAnsi="Arial" w:cs="Arial"/>
          <w:sz w:val="24"/>
          <w:szCs w:val="24"/>
        </w:rPr>
        <w:t xml:space="preserve">zum Nachweis tarifvertraglich vereinbarter Gehälter. </w:t>
      </w:r>
    </w:p>
    <w:p w:rsidR="0077716D" w:rsidRDefault="00757F3A" w:rsidP="0077716D">
      <w:pPr>
        <w:rPr>
          <w:rFonts w:ascii="Arial" w:hAnsi="Arial" w:cs="Arial"/>
          <w:sz w:val="24"/>
          <w:szCs w:val="24"/>
        </w:rPr>
      </w:pPr>
      <w:r>
        <w:rPr>
          <w:rFonts w:ascii="Arial" w:hAnsi="Arial" w:cs="Arial"/>
          <w:sz w:val="24"/>
          <w:szCs w:val="24"/>
        </w:rPr>
        <w:t>Auf dieser Grundlage sind die Versorgungsverträge zu schließen und nach</w:t>
      </w:r>
      <w:r w:rsidR="00F86F78">
        <w:rPr>
          <w:rFonts w:ascii="Arial" w:hAnsi="Arial" w:cs="Arial"/>
          <w:sz w:val="24"/>
          <w:szCs w:val="24"/>
        </w:rPr>
        <w:t xml:space="preserve"> § 111 </w:t>
      </w:r>
      <w:r w:rsidR="00293461">
        <w:rPr>
          <w:rFonts w:ascii="Arial" w:hAnsi="Arial" w:cs="Arial"/>
          <w:sz w:val="24"/>
          <w:szCs w:val="24"/>
        </w:rPr>
        <w:t>A</w:t>
      </w:r>
      <w:r w:rsidR="00F86F78">
        <w:rPr>
          <w:rFonts w:ascii="Arial" w:hAnsi="Arial" w:cs="Arial"/>
          <w:sz w:val="24"/>
          <w:szCs w:val="24"/>
        </w:rPr>
        <w:t xml:space="preserve">bsatz 5 SGB V die Vergütung </w:t>
      </w:r>
      <w:r w:rsidR="00BC407C">
        <w:rPr>
          <w:rFonts w:ascii="Arial" w:hAnsi="Arial" w:cs="Arial"/>
          <w:sz w:val="24"/>
          <w:szCs w:val="24"/>
        </w:rPr>
        <w:t>mit der einzelnen</w:t>
      </w:r>
      <w:r w:rsidR="00293461">
        <w:rPr>
          <w:rFonts w:ascii="Arial" w:hAnsi="Arial" w:cs="Arial"/>
          <w:sz w:val="24"/>
          <w:szCs w:val="24"/>
        </w:rPr>
        <w:t xml:space="preserve"> Rehabilitationseinrichtung</w:t>
      </w:r>
      <w:r w:rsidR="00F86F78">
        <w:rPr>
          <w:rFonts w:ascii="Arial" w:hAnsi="Arial" w:cs="Arial"/>
          <w:sz w:val="24"/>
          <w:szCs w:val="24"/>
        </w:rPr>
        <w:t xml:space="preserve"> zu verhandeln.</w:t>
      </w:r>
      <w:r w:rsidR="00BC407C">
        <w:rPr>
          <w:rFonts w:ascii="Arial" w:hAnsi="Arial" w:cs="Arial"/>
          <w:sz w:val="24"/>
          <w:szCs w:val="24"/>
        </w:rPr>
        <w:t xml:space="preserve"> </w:t>
      </w:r>
      <w:r w:rsidR="00293461">
        <w:rPr>
          <w:rFonts w:ascii="Arial" w:hAnsi="Arial" w:cs="Arial"/>
          <w:sz w:val="24"/>
          <w:szCs w:val="24"/>
        </w:rPr>
        <w:t>Sowohl bei der Vereinbarung der Rahmenempfehlung</w:t>
      </w:r>
      <w:r w:rsidR="00956BB1">
        <w:rPr>
          <w:rFonts w:ascii="Arial" w:hAnsi="Arial" w:cs="Arial"/>
          <w:sz w:val="24"/>
          <w:szCs w:val="24"/>
        </w:rPr>
        <w:t>en</w:t>
      </w:r>
      <w:r w:rsidR="00293461">
        <w:rPr>
          <w:rFonts w:ascii="Arial" w:hAnsi="Arial" w:cs="Arial"/>
          <w:sz w:val="24"/>
          <w:szCs w:val="24"/>
        </w:rPr>
        <w:t xml:space="preserve"> als auch der einzelnen Vergütungsvereinbarung ist im</w:t>
      </w:r>
      <w:r w:rsidR="00BC407C">
        <w:rPr>
          <w:rFonts w:ascii="Arial" w:hAnsi="Arial" w:cs="Arial"/>
          <w:sz w:val="24"/>
          <w:szCs w:val="24"/>
        </w:rPr>
        <w:t xml:space="preserve"> Konfliktfall die Schiedsstelle zuständig. </w:t>
      </w:r>
    </w:p>
    <w:p w:rsidR="0077716D" w:rsidRPr="002A3AC3" w:rsidRDefault="0077716D" w:rsidP="0077716D">
      <w:pPr>
        <w:rPr>
          <w:rFonts w:ascii="Arial" w:hAnsi="Arial" w:cs="Arial"/>
          <w:sz w:val="24"/>
          <w:szCs w:val="24"/>
        </w:rPr>
      </w:pPr>
      <w:r>
        <w:rPr>
          <w:rFonts w:ascii="Arial" w:hAnsi="Arial" w:cs="Arial"/>
          <w:sz w:val="24"/>
          <w:szCs w:val="24"/>
        </w:rPr>
        <w:t xml:space="preserve">Eine </w:t>
      </w:r>
      <w:r w:rsidR="00293461">
        <w:rPr>
          <w:rFonts w:ascii="Arial" w:hAnsi="Arial" w:cs="Arial"/>
          <w:sz w:val="24"/>
          <w:szCs w:val="24"/>
        </w:rPr>
        <w:t xml:space="preserve">Harmonisierung der medizinischen Rehabilitation des SGB VI mit der des </w:t>
      </w:r>
      <w:r w:rsidRPr="002A3AC3">
        <w:rPr>
          <w:rFonts w:ascii="Arial" w:hAnsi="Arial" w:cs="Arial"/>
          <w:sz w:val="24"/>
          <w:szCs w:val="24"/>
        </w:rPr>
        <w:t xml:space="preserve">§ 111 SGB V </w:t>
      </w:r>
      <w:r w:rsidR="00293461">
        <w:rPr>
          <w:rFonts w:ascii="Arial" w:hAnsi="Arial" w:cs="Arial"/>
          <w:sz w:val="24"/>
          <w:szCs w:val="24"/>
        </w:rPr>
        <w:t>könnte dazu genutzt werden</w:t>
      </w:r>
      <w:r w:rsidRPr="002A3AC3">
        <w:rPr>
          <w:rFonts w:ascii="Arial" w:hAnsi="Arial" w:cs="Arial"/>
          <w:sz w:val="24"/>
          <w:szCs w:val="24"/>
        </w:rPr>
        <w:t xml:space="preserve">:  </w:t>
      </w:r>
    </w:p>
    <w:p w:rsidR="0077716D" w:rsidRPr="002A3AC3" w:rsidRDefault="0077716D" w:rsidP="0077716D">
      <w:pPr>
        <w:pStyle w:val="Listenabsatz"/>
        <w:numPr>
          <w:ilvl w:val="0"/>
          <w:numId w:val="3"/>
        </w:numPr>
        <w:rPr>
          <w:rFonts w:ascii="Arial" w:hAnsi="Arial" w:cs="Arial"/>
          <w:sz w:val="24"/>
          <w:szCs w:val="24"/>
        </w:rPr>
      </w:pPr>
      <w:r>
        <w:rPr>
          <w:rFonts w:ascii="Arial" w:hAnsi="Arial" w:cs="Arial"/>
          <w:sz w:val="24"/>
          <w:szCs w:val="24"/>
        </w:rPr>
        <w:t>einen e</w:t>
      </w:r>
      <w:r w:rsidRPr="002A3AC3">
        <w:rPr>
          <w:rFonts w:ascii="Arial" w:hAnsi="Arial" w:cs="Arial"/>
          <w:sz w:val="24"/>
          <w:szCs w:val="24"/>
        </w:rPr>
        <w:t>inheitlich</w:t>
      </w:r>
      <w:r>
        <w:rPr>
          <w:rFonts w:ascii="Arial" w:hAnsi="Arial" w:cs="Arial"/>
          <w:sz w:val="24"/>
          <w:szCs w:val="24"/>
        </w:rPr>
        <w:t>en Zugang</w:t>
      </w:r>
      <w:r w:rsidRPr="002A3AC3">
        <w:rPr>
          <w:rFonts w:ascii="Arial" w:hAnsi="Arial" w:cs="Arial"/>
          <w:sz w:val="24"/>
          <w:szCs w:val="24"/>
        </w:rPr>
        <w:t xml:space="preserve"> zur Leistungserbringung in der medizinischen Rehabilitation zu gewährleisten, </w:t>
      </w:r>
    </w:p>
    <w:p w:rsidR="0077716D" w:rsidRPr="002A3AC3" w:rsidRDefault="0077716D" w:rsidP="0077716D">
      <w:pPr>
        <w:pStyle w:val="Listenabsatz"/>
        <w:numPr>
          <w:ilvl w:val="0"/>
          <w:numId w:val="3"/>
        </w:numPr>
        <w:rPr>
          <w:rFonts w:ascii="Arial" w:hAnsi="Arial" w:cs="Arial"/>
          <w:sz w:val="24"/>
          <w:szCs w:val="24"/>
        </w:rPr>
      </w:pPr>
      <w:r w:rsidRPr="002A3AC3">
        <w:rPr>
          <w:rFonts w:ascii="Arial" w:hAnsi="Arial" w:cs="Arial"/>
          <w:sz w:val="24"/>
          <w:szCs w:val="24"/>
        </w:rPr>
        <w:t>Verwaltungsressourcen bei Leistungsträgern und Leistungserbringern zu schonen</w:t>
      </w:r>
    </w:p>
    <w:p w:rsidR="0077716D" w:rsidRPr="002A3AC3" w:rsidRDefault="0077716D" w:rsidP="0077716D">
      <w:pPr>
        <w:pStyle w:val="Listenabsatz"/>
        <w:numPr>
          <w:ilvl w:val="0"/>
          <w:numId w:val="3"/>
        </w:numPr>
        <w:rPr>
          <w:rFonts w:ascii="Arial" w:hAnsi="Arial" w:cs="Arial"/>
          <w:sz w:val="24"/>
          <w:szCs w:val="24"/>
        </w:rPr>
      </w:pPr>
      <w:r w:rsidRPr="002A3AC3">
        <w:rPr>
          <w:rFonts w:ascii="Arial" w:hAnsi="Arial" w:cs="Arial"/>
          <w:sz w:val="24"/>
          <w:szCs w:val="24"/>
        </w:rPr>
        <w:t>das gemeinsame Rehabilitationsrechts des SGB IX zu stärken und weiterzu</w:t>
      </w:r>
      <w:r>
        <w:rPr>
          <w:rFonts w:ascii="Arial" w:hAnsi="Arial" w:cs="Arial"/>
          <w:sz w:val="24"/>
          <w:szCs w:val="24"/>
        </w:rPr>
        <w:t>ent</w:t>
      </w:r>
      <w:r w:rsidRPr="002A3AC3">
        <w:rPr>
          <w:rFonts w:ascii="Arial" w:hAnsi="Arial" w:cs="Arial"/>
          <w:sz w:val="24"/>
          <w:szCs w:val="24"/>
        </w:rPr>
        <w:t>wickeln.</w:t>
      </w:r>
    </w:p>
    <w:p w:rsidR="0077716D" w:rsidRDefault="0077716D" w:rsidP="0077716D">
      <w:pPr>
        <w:rPr>
          <w:rFonts w:ascii="Arial" w:hAnsi="Arial" w:cs="Arial"/>
          <w:sz w:val="24"/>
          <w:szCs w:val="24"/>
        </w:rPr>
      </w:pPr>
    </w:p>
    <w:p w:rsidR="0077716D" w:rsidRDefault="00A16F96" w:rsidP="0077716D">
      <w:pPr>
        <w:rPr>
          <w:rFonts w:ascii="Arial" w:hAnsi="Arial" w:cs="Arial"/>
          <w:b/>
          <w:sz w:val="24"/>
          <w:szCs w:val="24"/>
        </w:rPr>
      </w:pPr>
      <w:r>
        <w:rPr>
          <w:rFonts w:ascii="Arial" w:hAnsi="Arial" w:cs="Arial"/>
          <w:b/>
          <w:sz w:val="24"/>
          <w:szCs w:val="24"/>
        </w:rPr>
        <w:t>Der P</w:t>
      </w:r>
      <w:r w:rsidR="00F970DC">
        <w:rPr>
          <w:rFonts w:ascii="Arial" w:hAnsi="Arial" w:cs="Arial"/>
          <w:b/>
          <w:sz w:val="24"/>
          <w:szCs w:val="24"/>
        </w:rPr>
        <w:t>aritätische</w:t>
      </w:r>
      <w:r w:rsidR="0077716D" w:rsidRPr="00EB2FA1">
        <w:rPr>
          <w:rFonts w:ascii="Arial" w:hAnsi="Arial" w:cs="Arial"/>
          <w:b/>
          <w:sz w:val="24"/>
          <w:szCs w:val="24"/>
        </w:rPr>
        <w:t xml:space="preserve"> setzt sich mit Nachdruck für eine gemeinsame Selbstverwaltung von Rentenversicherungsträgern und den Leistungserbringerverbänden unter Beteiligung der Verbände der Menschen mit Behinderungen und der Selbsthilfe ein. </w:t>
      </w:r>
    </w:p>
    <w:p w:rsidR="0077716D" w:rsidRPr="00AB29FF" w:rsidRDefault="00E60F21" w:rsidP="0077716D">
      <w:pPr>
        <w:rPr>
          <w:rFonts w:ascii="Arial" w:hAnsi="Arial" w:cs="Arial"/>
          <w:b/>
          <w:sz w:val="24"/>
          <w:szCs w:val="24"/>
        </w:rPr>
      </w:pPr>
      <w:r>
        <w:rPr>
          <w:rFonts w:ascii="Arial" w:hAnsi="Arial" w:cs="Arial"/>
          <w:b/>
          <w:sz w:val="24"/>
          <w:szCs w:val="24"/>
        </w:rPr>
        <w:t xml:space="preserve">Er spricht sich dafür aus, </w:t>
      </w:r>
      <w:proofErr w:type="gramStart"/>
      <w:r>
        <w:rPr>
          <w:rFonts w:ascii="Arial" w:hAnsi="Arial" w:cs="Arial"/>
          <w:b/>
          <w:sz w:val="24"/>
          <w:szCs w:val="24"/>
        </w:rPr>
        <w:t>das</w:t>
      </w:r>
      <w:proofErr w:type="gramEnd"/>
      <w:r>
        <w:rPr>
          <w:rFonts w:ascii="Arial" w:hAnsi="Arial" w:cs="Arial"/>
          <w:b/>
          <w:sz w:val="24"/>
          <w:szCs w:val="24"/>
        </w:rPr>
        <w:t xml:space="preserve"> Leistungserbringungsrecht der medizinischen Rehabilitation des SGB VI mit dem des § 111 SGB V in Fassung des IPREG zu har</w:t>
      </w:r>
      <w:r w:rsidR="005E7B82">
        <w:rPr>
          <w:rFonts w:ascii="Arial" w:hAnsi="Arial" w:cs="Arial"/>
          <w:b/>
          <w:sz w:val="24"/>
          <w:szCs w:val="24"/>
        </w:rPr>
        <w:t xml:space="preserve">monisieren. Es sollten daher Rahmenempfehlungen oder sogar Rahmenverträge zwischen den Akteuren der Selbstverwaltung vereinbart werden, die Inhalt, Umfang und Qualität der Leistung sowie Grundsätze einer leistungsgerechten Vergütung festlegen. Die Zulassung des Leistungserbringers kann </w:t>
      </w:r>
      <w:r w:rsidR="0077716D" w:rsidRPr="00EB2FA1">
        <w:rPr>
          <w:rFonts w:ascii="Arial" w:hAnsi="Arial" w:cs="Arial"/>
          <w:b/>
          <w:sz w:val="24"/>
          <w:szCs w:val="24"/>
        </w:rPr>
        <w:t xml:space="preserve">durch </w:t>
      </w:r>
      <w:r w:rsidR="005E7B82">
        <w:rPr>
          <w:rFonts w:ascii="Arial" w:hAnsi="Arial" w:cs="Arial"/>
          <w:b/>
          <w:sz w:val="24"/>
          <w:szCs w:val="24"/>
        </w:rPr>
        <w:t xml:space="preserve">Anerkennung dieser Festlegungen in den Versorgungsverträgen erfolgen. </w:t>
      </w:r>
      <w:r w:rsidR="0077716D" w:rsidRPr="00EB2FA1">
        <w:rPr>
          <w:rFonts w:ascii="Arial" w:hAnsi="Arial" w:cs="Arial"/>
          <w:b/>
          <w:sz w:val="24"/>
          <w:szCs w:val="24"/>
        </w:rPr>
        <w:t xml:space="preserve"> </w:t>
      </w:r>
      <w:r w:rsidR="005E7B82">
        <w:rPr>
          <w:rFonts w:ascii="Arial" w:hAnsi="Arial" w:cs="Arial"/>
          <w:b/>
          <w:sz w:val="24"/>
          <w:szCs w:val="24"/>
        </w:rPr>
        <w:t xml:space="preserve">Die Vergütung ist in Einzelverhandlungen mit den Rehabilitationseinrichtungen zu </w:t>
      </w:r>
      <w:r w:rsidR="0077716D" w:rsidRPr="00EB2FA1">
        <w:rPr>
          <w:rFonts w:ascii="Arial" w:hAnsi="Arial" w:cs="Arial"/>
          <w:b/>
          <w:sz w:val="24"/>
          <w:szCs w:val="24"/>
        </w:rPr>
        <w:t xml:space="preserve">vereinbaren. Sowohl </w:t>
      </w:r>
      <w:r w:rsidR="005E7B82">
        <w:rPr>
          <w:rFonts w:ascii="Arial" w:hAnsi="Arial" w:cs="Arial"/>
          <w:b/>
          <w:sz w:val="24"/>
          <w:szCs w:val="24"/>
        </w:rPr>
        <w:t xml:space="preserve">Rahmenempfehlung/-vereinbarung </w:t>
      </w:r>
      <w:r w:rsidR="0077716D" w:rsidRPr="00EB2FA1">
        <w:rPr>
          <w:rFonts w:ascii="Arial" w:hAnsi="Arial" w:cs="Arial"/>
          <w:b/>
          <w:sz w:val="24"/>
          <w:szCs w:val="24"/>
        </w:rPr>
        <w:t>als auch Vergütungsvereinbarung müssen im Konfliktfall schiedsstel</w:t>
      </w:r>
      <w:r w:rsidR="00AB29FF">
        <w:rPr>
          <w:rFonts w:ascii="Arial" w:hAnsi="Arial" w:cs="Arial"/>
          <w:b/>
          <w:sz w:val="24"/>
          <w:szCs w:val="24"/>
        </w:rPr>
        <w:t xml:space="preserve">lenfähig sein. </w:t>
      </w:r>
    </w:p>
    <w:p w:rsidR="0077716D" w:rsidRDefault="0077716D" w:rsidP="0077716D">
      <w:pPr>
        <w:rPr>
          <w:rFonts w:ascii="Arial" w:hAnsi="Arial" w:cs="Arial"/>
          <w:sz w:val="24"/>
          <w:szCs w:val="24"/>
        </w:rPr>
      </w:pPr>
    </w:p>
    <w:p w:rsidR="0077716D" w:rsidRPr="00EC00FE" w:rsidRDefault="0077716D" w:rsidP="0077716D">
      <w:pPr>
        <w:pStyle w:val="Listenabsatz"/>
        <w:numPr>
          <w:ilvl w:val="0"/>
          <w:numId w:val="1"/>
        </w:numPr>
        <w:autoSpaceDE w:val="0"/>
        <w:autoSpaceDN w:val="0"/>
        <w:adjustRightInd w:val="0"/>
        <w:spacing w:after="0" w:line="240" w:lineRule="auto"/>
        <w:ind w:left="360"/>
        <w:rPr>
          <w:rFonts w:ascii="Arial" w:hAnsi="Arial" w:cs="Arial"/>
          <w:b/>
          <w:sz w:val="24"/>
          <w:szCs w:val="24"/>
        </w:rPr>
      </w:pPr>
      <w:r>
        <w:rPr>
          <w:rFonts w:ascii="Arial" w:hAnsi="Arial" w:cs="Arial"/>
          <w:b/>
          <w:sz w:val="24"/>
          <w:szCs w:val="24"/>
        </w:rPr>
        <w:lastRenderedPageBreak/>
        <w:t>Vergütung: t</w:t>
      </w:r>
      <w:r w:rsidRPr="00EC00FE">
        <w:rPr>
          <w:rFonts w:ascii="Arial" w:hAnsi="Arial" w:cs="Arial"/>
          <w:b/>
          <w:sz w:val="24"/>
          <w:szCs w:val="24"/>
        </w:rPr>
        <w:t xml:space="preserve">ariflich vereinbarte Gehälter </w:t>
      </w:r>
      <w:r>
        <w:rPr>
          <w:rFonts w:ascii="Arial" w:hAnsi="Arial" w:cs="Arial"/>
          <w:b/>
          <w:sz w:val="24"/>
          <w:szCs w:val="24"/>
        </w:rPr>
        <w:t>und Unternehmerrisiko</w:t>
      </w:r>
      <w:r w:rsidRPr="00EC00FE">
        <w:rPr>
          <w:rFonts w:ascii="Arial" w:hAnsi="Arial" w:cs="Arial"/>
          <w:b/>
          <w:sz w:val="24"/>
          <w:szCs w:val="24"/>
        </w:rPr>
        <w:t xml:space="preserve">  </w:t>
      </w:r>
    </w:p>
    <w:p w:rsidR="0077716D" w:rsidRDefault="0077716D" w:rsidP="0077716D">
      <w:pPr>
        <w:rPr>
          <w:rFonts w:ascii="Arial" w:hAnsi="Arial" w:cs="Arial"/>
          <w:sz w:val="24"/>
          <w:szCs w:val="24"/>
        </w:rPr>
      </w:pPr>
    </w:p>
    <w:p w:rsidR="0077716D" w:rsidRDefault="0077716D" w:rsidP="0077716D">
      <w:pPr>
        <w:rPr>
          <w:rFonts w:ascii="Arial" w:hAnsi="Arial" w:cs="Arial"/>
          <w:sz w:val="24"/>
          <w:szCs w:val="24"/>
        </w:rPr>
      </w:pPr>
      <w:r>
        <w:rPr>
          <w:rFonts w:ascii="Arial" w:hAnsi="Arial" w:cs="Arial"/>
          <w:sz w:val="24"/>
          <w:szCs w:val="24"/>
        </w:rPr>
        <w:t xml:space="preserve">Aus Sicht der </w:t>
      </w:r>
      <w:r w:rsidR="00A16F96">
        <w:rPr>
          <w:rFonts w:ascii="Arial" w:hAnsi="Arial" w:cs="Arial"/>
          <w:sz w:val="24"/>
          <w:szCs w:val="24"/>
        </w:rPr>
        <w:t>des P</w:t>
      </w:r>
      <w:r w:rsidR="00F970DC">
        <w:rPr>
          <w:rFonts w:ascii="Arial" w:hAnsi="Arial" w:cs="Arial"/>
          <w:sz w:val="24"/>
          <w:szCs w:val="24"/>
        </w:rPr>
        <w:t>aritätischen</w:t>
      </w:r>
      <w:r>
        <w:rPr>
          <w:rFonts w:ascii="Arial" w:hAnsi="Arial" w:cs="Arial"/>
          <w:sz w:val="24"/>
          <w:szCs w:val="24"/>
        </w:rPr>
        <w:t xml:space="preserve"> ist im</w:t>
      </w:r>
      <w:r w:rsidRPr="003C16D0">
        <w:rPr>
          <w:rFonts w:ascii="Arial" w:hAnsi="Arial" w:cs="Arial"/>
          <w:sz w:val="24"/>
          <w:szCs w:val="24"/>
        </w:rPr>
        <w:t xml:space="preserve"> Gesetzeswortlaut </w:t>
      </w:r>
      <w:r>
        <w:rPr>
          <w:rFonts w:ascii="Arial" w:hAnsi="Arial" w:cs="Arial"/>
          <w:sz w:val="24"/>
          <w:szCs w:val="24"/>
        </w:rPr>
        <w:t xml:space="preserve">ausdrücklich klar zu stellen, dass die Vergütungskriterien nach § 15 Abs. 3 letzter Satz und Abs. 9 Nr. 2 SGB VI keinen Preiswettbewerb zu Lasten der Beschäftigten ermöglichen dürfen. </w:t>
      </w:r>
    </w:p>
    <w:p w:rsidR="0077716D" w:rsidRDefault="0077716D" w:rsidP="0077716D">
      <w:pPr>
        <w:rPr>
          <w:rFonts w:ascii="Arial" w:hAnsi="Arial" w:cs="Arial"/>
          <w:sz w:val="24"/>
          <w:szCs w:val="24"/>
        </w:rPr>
      </w:pPr>
      <w:r>
        <w:rPr>
          <w:rFonts w:ascii="Arial" w:hAnsi="Arial" w:cs="Arial"/>
          <w:sz w:val="24"/>
          <w:szCs w:val="24"/>
        </w:rPr>
        <w:t>Zum einen müssen die Vorgaben des § 38 SGB IX</w:t>
      </w:r>
      <w:r w:rsidRPr="00AF0D3C">
        <w:rPr>
          <w:rFonts w:ascii="Arial" w:hAnsi="Arial" w:cs="Arial"/>
          <w:sz w:val="24"/>
          <w:szCs w:val="24"/>
        </w:rPr>
        <w:t xml:space="preserve"> </w:t>
      </w:r>
      <w:r>
        <w:rPr>
          <w:rFonts w:ascii="Arial" w:hAnsi="Arial" w:cs="Arial"/>
          <w:sz w:val="24"/>
          <w:szCs w:val="24"/>
        </w:rPr>
        <w:t xml:space="preserve">verbindlich gelten, nach dessen Absatz 2 ohnehin die Bezahlung tariflich vereinbarter Gehälter </w:t>
      </w:r>
      <w:r w:rsidRPr="00AF0D3C">
        <w:rPr>
          <w:rFonts w:ascii="Arial" w:hAnsi="Arial" w:cs="Arial"/>
          <w:sz w:val="24"/>
          <w:szCs w:val="24"/>
        </w:rPr>
        <w:t>sowie entsprechender Vergütungen nach kirchlichen Arbeitsrechtsregelungen</w:t>
      </w:r>
      <w:r w:rsidRPr="003C16D0">
        <w:rPr>
          <w:rFonts w:ascii="Arial" w:hAnsi="Arial" w:cs="Arial"/>
          <w:sz w:val="24"/>
          <w:szCs w:val="24"/>
        </w:rPr>
        <w:t xml:space="preserve"> </w:t>
      </w:r>
      <w:r>
        <w:rPr>
          <w:rFonts w:ascii="Arial" w:hAnsi="Arial" w:cs="Arial"/>
          <w:sz w:val="24"/>
          <w:szCs w:val="24"/>
        </w:rPr>
        <w:t xml:space="preserve">nicht </w:t>
      </w:r>
      <w:r w:rsidRPr="003C16D0">
        <w:rPr>
          <w:rFonts w:ascii="Arial" w:hAnsi="Arial" w:cs="Arial"/>
          <w:sz w:val="24"/>
          <w:szCs w:val="24"/>
        </w:rPr>
        <w:t xml:space="preserve">als </w:t>
      </w:r>
      <w:r>
        <w:rPr>
          <w:rFonts w:ascii="Arial" w:hAnsi="Arial" w:cs="Arial"/>
          <w:sz w:val="24"/>
          <w:szCs w:val="24"/>
        </w:rPr>
        <w:t>un</w:t>
      </w:r>
      <w:r w:rsidRPr="003C16D0">
        <w:rPr>
          <w:rFonts w:ascii="Arial" w:hAnsi="Arial" w:cs="Arial"/>
          <w:sz w:val="24"/>
          <w:szCs w:val="24"/>
        </w:rPr>
        <w:t xml:space="preserve">wirtschaftlich </w:t>
      </w:r>
      <w:r>
        <w:rPr>
          <w:rFonts w:ascii="Arial" w:hAnsi="Arial" w:cs="Arial"/>
          <w:sz w:val="24"/>
          <w:szCs w:val="24"/>
        </w:rPr>
        <w:t>abgelehnt werden kann. Zum andern sollte sich die Formulierung an § 89 Abs. 1 SGB XI orientieren, der in der Sozialen Pflegeversicherung gilt und bislang den wirksamsten Schutz vor Lohndumping gewährt. Hiernach kann die Bezahlung „</w:t>
      </w:r>
      <w:r w:rsidRPr="00EB2FA1">
        <w:rPr>
          <w:rFonts w:ascii="Arial" w:hAnsi="Arial" w:cs="Arial"/>
          <w:i/>
          <w:sz w:val="24"/>
          <w:szCs w:val="24"/>
        </w:rPr>
        <w:t>von Gehältern</w:t>
      </w:r>
      <w:r w:rsidRPr="00BC045A">
        <w:rPr>
          <w:rFonts w:ascii="Arial" w:hAnsi="Arial" w:cs="Arial"/>
          <w:sz w:val="24"/>
          <w:szCs w:val="24"/>
        </w:rPr>
        <w:t xml:space="preserve"> </w:t>
      </w:r>
      <w:r w:rsidRPr="00EB2FA1">
        <w:rPr>
          <w:rFonts w:ascii="Arial" w:hAnsi="Arial" w:cs="Arial"/>
          <w:b/>
          <w:i/>
          <w:sz w:val="24"/>
          <w:szCs w:val="24"/>
        </w:rPr>
        <w:t>bis zur Höhe</w:t>
      </w:r>
      <w:r w:rsidRPr="00EB2FA1">
        <w:rPr>
          <w:rFonts w:ascii="Arial" w:hAnsi="Arial" w:cs="Arial"/>
          <w:i/>
          <w:sz w:val="24"/>
          <w:szCs w:val="24"/>
        </w:rPr>
        <w:t xml:space="preserve"> (!) tarifvertraglich vereinbarter Vergütungen sowie entsprechender Vergütungen nach kirchlichen Arbeitsrechtsregelungen nicht als unwirtschaftlich abgelehnt werden. Für eine darüber hinaus</w:t>
      </w:r>
      <w:r>
        <w:rPr>
          <w:rFonts w:ascii="Arial" w:hAnsi="Arial" w:cs="Arial"/>
          <w:i/>
          <w:sz w:val="24"/>
          <w:szCs w:val="24"/>
        </w:rPr>
        <w:t xml:space="preserve"> </w:t>
      </w:r>
      <w:r w:rsidRPr="00EB2FA1">
        <w:rPr>
          <w:rFonts w:ascii="Arial" w:hAnsi="Arial" w:cs="Arial"/>
          <w:i/>
          <w:sz w:val="24"/>
          <w:szCs w:val="24"/>
        </w:rPr>
        <w:t>gehende Bezahlung bedarf es eines sachlichen Grundes.</w:t>
      </w:r>
      <w:r>
        <w:rPr>
          <w:rFonts w:ascii="Arial" w:hAnsi="Arial" w:cs="Arial"/>
          <w:sz w:val="24"/>
          <w:szCs w:val="24"/>
        </w:rPr>
        <w:t>“</w:t>
      </w:r>
    </w:p>
    <w:p w:rsidR="0077716D" w:rsidRDefault="0077716D" w:rsidP="0077716D">
      <w:pPr>
        <w:rPr>
          <w:rFonts w:ascii="Arial" w:hAnsi="Arial" w:cs="Arial"/>
          <w:sz w:val="24"/>
          <w:szCs w:val="24"/>
        </w:rPr>
      </w:pPr>
      <w:r>
        <w:rPr>
          <w:rFonts w:ascii="Arial" w:hAnsi="Arial" w:cs="Arial"/>
          <w:sz w:val="24"/>
          <w:szCs w:val="24"/>
        </w:rPr>
        <w:t>Ferner muss – ebenfalls wie in § 89 Abs. 1 SGB XI – klargestellt werden, dass die Vergütung nur dann l</w:t>
      </w:r>
      <w:r w:rsidRPr="003547FB">
        <w:rPr>
          <w:rFonts w:ascii="Arial" w:hAnsi="Arial" w:cs="Arial"/>
          <w:sz w:val="24"/>
          <w:szCs w:val="24"/>
        </w:rPr>
        <w:t xml:space="preserve">eistungsgerecht </w:t>
      </w:r>
      <w:r>
        <w:rPr>
          <w:rFonts w:ascii="Arial" w:hAnsi="Arial" w:cs="Arial"/>
          <w:sz w:val="24"/>
          <w:szCs w:val="24"/>
        </w:rPr>
        <w:t xml:space="preserve">ist, wenn sie </w:t>
      </w:r>
      <w:r w:rsidR="00F970DC">
        <w:rPr>
          <w:rFonts w:ascii="Arial" w:hAnsi="Arial" w:cs="Arial"/>
          <w:sz w:val="24"/>
          <w:szCs w:val="24"/>
        </w:rPr>
        <w:t xml:space="preserve">das Unternehmerrisiko </w:t>
      </w:r>
      <w:r w:rsidRPr="003547FB">
        <w:rPr>
          <w:rFonts w:ascii="Arial" w:hAnsi="Arial" w:cs="Arial"/>
          <w:sz w:val="24"/>
          <w:szCs w:val="24"/>
        </w:rPr>
        <w:t xml:space="preserve">angemessen </w:t>
      </w:r>
      <w:r>
        <w:rPr>
          <w:rFonts w:ascii="Arial" w:hAnsi="Arial" w:cs="Arial"/>
          <w:sz w:val="24"/>
          <w:szCs w:val="24"/>
        </w:rPr>
        <w:t>berücksichtigt. Der Leistungserbringer muss die Möglichkeit haben, durch angemessene Überschüsse Rücklagen zu bilden, um nicht bei jedem Umsatzeinbruch aufgrund unvorhergesehener Umstände insolvent zu werden.</w:t>
      </w:r>
    </w:p>
    <w:p w:rsidR="00095ABA" w:rsidRDefault="00095ABA" w:rsidP="0077716D">
      <w:pPr>
        <w:rPr>
          <w:rFonts w:ascii="Arial" w:hAnsi="Arial" w:cs="Arial"/>
          <w:sz w:val="24"/>
          <w:szCs w:val="24"/>
        </w:rPr>
      </w:pPr>
    </w:p>
    <w:p w:rsidR="00F444AE" w:rsidRPr="00F970DC" w:rsidRDefault="00A16F96" w:rsidP="0077716D">
      <w:pPr>
        <w:rPr>
          <w:rFonts w:ascii="Arial" w:hAnsi="Arial" w:cs="Arial"/>
          <w:b/>
          <w:sz w:val="24"/>
          <w:szCs w:val="24"/>
        </w:rPr>
      </w:pPr>
      <w:r w:rsidRPr="00F970DC">
        <w:rPr>
          <w:rFonts w:ascii="Arial" w:hAnsi="Arial" w:cs="Arial"/>
          <w:b/>
          <w:sz w:val="24"/>
          <w:szCs w:val="24"/>
        </w:rPr>
        <w:t>Der P</w:t>
      </w:r>
      <w:r w:rsidR="00F970DC" w:rsidRPr="00F970DC">
        <w:rPr>
          <w:rFonts w:ascii="Arial" w:hAnsi="Arial" w:cs="Arial"/>
          <w:b/>
          <w:sz w:val="24"/>
          <w:szCs w:val="24"/>
        </w:rPr>
        <w:t>aritätische</w:t>
      </w:r>
      <w:r w:rsidR="0077716D" w:rsidRPr="00F970DC">
        <w:rPr>
          <w:rFonts w:ascii="Arial" w:hAnsi="Arial" w:cs="Arial"/>
          <w:b/>
          <w:sz w:val="24"/>
          <w:szCs w:val="24"/>
        </w:rPr>
        <w:t xml:space="preserve"> fordert, </w:t>
      </w:r>
      <w:r w:rsidR="00F444AE" w:rsidRPr="00F970DC">
        <w:rPr>
          <w:rFonts w:ascii="Arial" w:hAnsi="Arial" w:cs="Arial"/>
          <w:b/>
          <w:sz w:val="24"/>
          <w:szCs w:val="24"/>
        </w:rPr>
        <w:t xml:space="preserve">den Grundsatz der leistungsgerechten Vergütung, einschließlich der </w:t>
      </w:r>
      <w:r w:rsidR="00F970DC">
        <w:rPr>
          <w:rFonts w:ascii="Arial" w:hAnsi="Arial" w:cs="Arial"/>
          <w:b/>
          <w:sz w:val="24"/>
          <w:szCs w:val="24"/>
        </w:rPr>
        <w:t>Berücksichtigung</w:t>
      </w:r>
      <w:r w:rsidR="00F444AE" w:rsidRPr="00F970DC">
        <w:rPr>
          <w:rFonts w:ascii="Arial" w:hAnsi="Arial" w:cs="Arial"/>
          <w:b/>
          <w:sz w:val="24"/>
          <w:szCs w:val="24"/>
        </w:rPr>
        <w:t xml:space="preserve"> des Unternehmerrisikos und der Anerkennung von Gehältern bis zur Höhe tarifvertraglich vereinbarter Vergütungen sowie entsprechender Vergütungen nach kirchlichen Arbeitsrechtsregelungen entsprechend § 89 Abs. 1 SGB XI</w:t>
      </w:r>
      <w:r w:rsidR="00AE501B" w:rsidRPr="00F970DC">
        <w:rPr>
          <w:rFonts w:ascii="Arial" w:hAnsi="Arial" w:cs="Arial"/>
          <w:b/>
          <w:sz w:val="24"/>
          <w:szCs w:val="24"/>
        </w:rPr>
        <w:t xml:space="preserve"> im Leistungserbringungsrecht der medizinischen Rehabilitation zu verankern</w:t>
      </w:r>
      <w:r w:rsidR="00F444AE" w:rsidRPr="00F970DC">
        <w:rPr>
          <w:rFonts w:ascii="Arial" w:hAnsi="Arial" w:cs="Arial"/>
          <w:b/>
          <w:sz w:val="24"/>
          <w:szCs w:val="24"/>
        </w:rPr>
        <w:t xml:space="preserve">. </w:t>
      </w:r>
    </w:p>
    <w:p w:rsidR="00F444AE" w:rsidRDefault="00F444AE" w:rsidP="0077716D">
      <w:pPr>
        <w:rPr>
          <w:rFonts w:ascii="Arial" w:hAnsi="Arial" w:cs="Arial"/>
          <w:b/>
          <w:i/>
          <w:sz w:val="24"/>
          <w:szCs w:val="24"/>
        </w:rPr>
      </w:pPr>
    </w:p>
    <w:p w:rsidR="00E81321" w:rsidRDefault="00E81321" w:rsidP="00DA17A3">
      <w:pPr>
        <w:rPr>
          <w:rFonts w:ascii="Arial" w:hAnsi="Arial" w:cs="Arial"/>
          <w:b/>
          <w:color w:val="000000"/>
          <w:sz w:val="24"/>
          <w:szCs w:val="24"/>
        </w:rPr>
      </w:pPr>
    </w:p>
    <w:p w:rsidR="000A791E" w:rsidRPr="000A791E" w:rsidRDefault="000A791E" w:rsidP="00DA17A3">
      <w:pPr>
        <w:rPr>
          <w:rFonts w:ascii="Arial" w:hAnsi="Arial" w:cs="Arial"/>
          <w:color w:val="000000"/>
          <w:sz w:val="24"/>
          <w:szCs w:val="24"/>
        </w:rPr>
      </w:pPr>
      <w:r w:rsidRPr="000A791E">
        <w:rPr>
          <w:rFonts w:ascii="Arial" w:hAnsi="Arial" w:cs="Arial"/>
          <w:color w:val="000000"/>
          <w:sz w:val="24"/>
          <w:szCs w:val="24"/>
        </w:rPr>
        <w:t>Berlin, 1</w:t>
      </w:r>
      <w:r w:rsidR="00F970DC">
        <w:rPr>
          <w:rFonts w:ascii="Arial" w:hAnsi="Arial" w:cs="Arial"/>
          <w:color w:val="000000"/>
          <w:sz w:val="24"/>
          <w:szCs w:val="24"/>
        </w:rPr>
        <w:t>1</w:t>
      </w:r>
      <w:r w:rsidRPr="000A791E">
        <w:rPr>
          <w:rFonts w:ascii="Arial" w:hAnsi="Arial" w:cs="Arial"/>
          <w:color w:val="000000"/>
          <w:sz w:val="24"/>
          <w:szCs w:val="24"/>
        </w:rPr>
        <w:t>. August 2020</w:t>
      </w:r>
    </w:p>
    <w:p w:rsidR="000A791E" w:rsidRPr="00DA17A3" w:rsidRDefault="000A791E" w:rsidP="00DA17A3">
      <w:pPr>
        <w:rPr>
          <w:rFonts w:ascii="Arial" w:hAnsi="Arial" w:cs="Arial"/>
          <w:sz w:val="24"/>
          <w:szCs w:val="24"/>
        </w:rPr>
      </w:pPr>
      <w:bookmarkStart w:id="0" w:name="_GoBack"/>
      <w:bookmarkEnd w:id="0"/>
    </w:p>
    <w:sectPr w:rsidR="000A791E" w:rsidRPr="00DA17A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645" w:rsidRDefault="006F3645" w:rsidP="00251F12">
      <w:pPr>
        <w:spacing w:after="0" w:line="240" w:lineRule="auto"/>
      </w:pPr>
      <w:r>
        <w:separator/>
      </w:r>
    </w:p>
  </w:endnote>
  <w:endnote w:type="continuationSeparator" w:id="0">
    <w:p w:rsidR="006F3645" w:rsidRDefault="006F3645" w:rsidP="00251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645" w:rsidRDefault="006F3645" w:rsidP="00251F12">
      <w:pPr>
        <w:spacing w:after="0" w:line="240" w:lineRule="auto"/>
      </w:pPr>
      <w:r>
        <w:separator/>
      </w:r>
    </w:p>
  </w:footnote>
  <w:footnote w:type="continuationSeparator" w:id="0">
    <w:p w:rsidR="006F3645" w:rsidRDefault="006F3645" w:rsidP="00251F12">
      <w:pPr>
        <w:spacing w:after="0" w:line="240" w:lineRule="auto"/>
      </w:pPr>
      <w:r>
        <w:continuationSeparator/>
      </w:r>
    </w:p>
  </w:footnote>
  <w:footnote w:id="1">
    <w:p w:rsidR="00293461" w:rsidRDefault="00293461" w:rsidP="00251F12">
      <w:pPr>
        <w:pStyle w:val="Funotentext"/>
      </w:pPr>
      <w:r>
        <w:rPr>
          <w:rStyle w:val="Funotenzeichen"/>
        </w:rPr>
        <w:footnoteRef/>
      </w:r>
      <w:r>
        <w:t xml:space="preserve"> Vgl. hierzu: </w:t>
      </w:r>
      <w:r w:rsidRPr="00EB2FA1">
        <w:rPr>
          <w:i/>
        </w:rPr>
        <w:t>Dittmann</w:t>
      </w:r>
      <w:r>
        <w:t xml:space="preserve">, Vergaberecht und die „open-house“-Zulassungs- und Belegungspraxis der Deutschen Rentenversicherung – Bericht vom REHA-Tag2018; Beitrag E5 unter </w:t>
      </w:r>
      <w:hyperlink r:id="rId1" w:history="1">
        <w:r w:rsidRPr="009E51ED">
          <w:rPr>
            <w:rStyle w:val="Hyperlink"/>
          </w:rPr>
          <w:t>www.reha-recht.de</w:t>
        </w:r>
      </w:hyperlink>
      <w:r>
        <w:t>; 21.08.2019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07643"/>
    <w:multiLevelType w:val="hybridMultilevel"/>
    <w:tmpl w:val="888E31EA"/>
    <w:lvl w:ilvl="0" w:tplc="B08A0992">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3B5A39"/>
    <w:multiLevelType w:val="hybridMultilevel"/>
    <w:tmpl w:val="FC4EFD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3B5660D"/>
    <w:multiLevelType w:val="hybridMultilevel"/>
    <w:tmpl w:val="B804EE6E"/>
    <w:lvl w:ilvl="0" w:tplc="0407000F">
      <w:start w:val="1"/>
      <w:numFmt w:val="decimal"/>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C5A6A0E"/>
    <w:multiLevelType w:val="hybridMultilevel"/>
    <w:tmpl w:val="950A1F6A"/>
    <w:lvl w:ilvl="0" w:tplc="1FB0283A">
      <w:start w:val="9"/>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453"/>
    <w:rsid w:val="00051CF2"/>
    <w:rsid w:val="00095ABA"/>
    <w:rsid w:val="000A791E"/>
    <w:rsid w:val="00141F0F"/>
    <w:rsid w:val="001542D5"/>
    <w:rsid w:val="001811E5"/>
    <w:rsid w:val="00251F12"/>
    <w:rsid w:val="00253216"/>
    <w:rsid w:val="00293461"/>
    <w:rsid w:val="002C6D65"/>
    <w:rsid w:val="002D6BDB"/>
    <w:rsid w:val="004A7163"/>
    <w:rsid w:val="00522A5A"/>
    <w:rsid w:val="005C331D"/>
    <w:rsid w:val="005E7B82"/>
    <w:rsid w:val="00662E59"/>
    <w:rsid w:val="006F3645"/>
    <w:rsid w:val="00757F3A"/>
    <w:rsid w:val="0077716D"/>
    <w:rsid w:val="007951A2"/>
    <w:rsid w:val="00932D24"/>
    <w:rsid w:val="00956BB1"/>
    <w:rsid w:val="00962453"/>
    <w:rsid w:val="00A16F96"/>
    <w:rsid w:val="00AB29FF"/>
    <w:rsid w:val="00AE501B"/>
    <w:rsid w:val="00BC407C"/>
    <w:rsid w:val="00C313BE"/>
    <w:rsid w:val="00D84E12"/>
    <w:rsid w:val="00DA17A3"/>
    <w:rsid w:val="00E60F21"/>
    <w:rsid w:val="00E81321"/>
    <w:rsid w:val="00EE0327"/>
    <w:rsid w:val="00F444AE"/>
    <w:rsid w:val="00F57454"/>
    <w:rsid w:val="00F86F78"/>
    <w:rsid w:val="00F970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3EA3"/>
  <w15:chartTrackingRefBased/>
  <w15:docId w15:val="{D1A1B87B-240F-4284-9A1E-71C93A14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51F12"/>
    <w:pPr>
      <w:ind w:left="720"/>
      <w:contextualSpacing/>
    </w:pPr>
  </w:style>
  <w:style w:type="paragraph" w:styleId="Funotentext">
    <w:name w:val="footnote text"/>
    <w:basedOn w:val="Standard"/>
    <w:link w:val="FunotentextZchn"/>
    <w:uiPriority w:val="99"/>
    <w:semiHidden/>
    <w:unhideWhenUsed/>
    <w:rsid w:val="00251F1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51F12"/>
    <w:rPr>
      <w:sz w:val="20"/>
      <w:szCs w:val="20"/>
    </w:rPr>
  </w:style>
  <w:style w:type="character" w:styleId="Funotenzeichen">
    <w:name w:val="footnote reference"/>
    <w:basedOn w:val="Absatz-Standardschriftart"/>
    <w:uiPriority w:val="99"/>
    <w:semiHidden/>
    <w:unhideWhenUsed/>
    <w:rsid w:val="00251F12"/>
    <w:rPr>
      <w:vertAlign w:val="superscript"/>
    </w:rPr>
  </w:style>
  <w:style w:type="character" w:styleId="Hyperlink">
    <w:name w:val="Hyperlink"/>
    <w:basedOn w:val="Absatz-Standardschriftart"/>
    <w:uiPriority w:val="99"/>
    <w:unhideWhenUsed/>
    <w:rsid w:val="00251F12"/>
    <w:rPr>
      <w:color w:val="0563C1" w:themeColor="hyperlink"/>
      <w:u w:val="single"/>
    </w:rPr>
  </w:style>
  <w:style w:type="paragraph" w:customStyle="1" w:styleId="Default">
    <w:name w:val="Default"/>
    <w:rsid w:val="001542D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reha-recht.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2523</Words>
  <Characters>15897</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Anuschka Novakovic</dc:creator>
  <cp:keywords/>
  <dc:description/>
  <cp:lastModifiedBy>Werner Hesse</cp:lastModifiedBy>
  <cp:revision>7</cp:revision>
  <dcterms:created xsi:type="dcterms:W3CDTF">2020-08-11T11:40:00Z</dcterms:created>
  <dcterms:modified xsi:type="dcterms:W3CDTF">2020-08-11T12:51:00Z</dcterms:modified>
</cp:coreProperties>
</file>